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7"/>
        <w:rPr>
          <w:highlight w:val="none"/>
        </w:rPr>
      </w:pPr>
      <w:r>
        <w:rPr>
          <w:rFonts w:hint="eastAsia"/>
          <w:highlight w:val="none"/>
        </w:rPr>
        <w:t xml:space="preserve"> </w:t>
      </w:r>
    </w:p>
    <w:p>
      <w:pPr>
        <w:spacing w:line="360" w:lineRule="auto"/>
        <w:ind w:firstLine="300" w:firstLineChars="50"/>
        <w:rPr>
          <w:sz w:val="60"/>
          <w:szCs w:val="60"/>
          <w:highlight w:val="none"/>
        </w:rPr>
      </w:pPr>
    </w:p>
    <w:p>
      <w:pPr>
        <w:jc w:val="center"/>
        <w:rPr>
          <w:b/>
          <w:bCs/>
          <w:sz w:val="60"/>
          <w:szCs w:val="60"/>
          <w:highlight w:val="none"/>
        </w:rPr>
      </w:pPr>
      <w:r>
        <w:rPr>
          <w:b/>
          <w:bCs/>
          <w:sz w:val="60"/>
          <w:szCs w:val="60"/>
          <w:highlight w:val="none"/>
        </w:rPr>
        <w:t>竞争性磋商文件</w:t>
      </w:r>
    </w:p>
    <w:p>
      <w:pPr>
        <w:spacing w:line="360" w:lineRule="auto"/>
        <w:jc w:val="center"/>
        <w:rPr>
          <w:rFonts w:ascii="宋体" w:hAnsi="宋体"/>
          <w:b/>
          <w:bCs/>
          <w:sz w:val="60"/>
          <w:szCs w:val="60"/>
          <w:highlight w:val="none"/>
        </w:rPr>
      </w:pPr>
    </w:p>
    <w:p>
      <w:pPr>
        <w:spacing w:line="360" w:lineRule="auto"/>
        <w:jc w:val="center"/>
        <w:rPr>
          <w:rFonts w:ascii="宋体" w:hAnsi="宋体"/>
          <w:b/>
          <w:bCs/>
          <w:sz w:val="60"/>
          <w:szCs w:val="60"/>
          <w:highlight w:val="none"/>
        </w:rPr>
      </w:pPr>
    </w:p>
    <w:p>
      <w:pPr>
        <w:tabs>
          <w:tab w:val="left" w:pos="5609"/>
        </w:tabs>
        <w:ind w:left="2832" w:leftChars="444" w:hanging="1900" w:hangingChars="528"/>
        <w:jc w:val="left"/>
        <w:rPr>
          <w:rFonts w:hint="eastAsia"/>
          <w:bCs/>
          <w:sz w:val="36"/>
          <w:szCs w:val="36"/>
          <w:highlight w:val="none"/>
          <w:lang w:eastAsia="zh-CN"/>
        </w:rPr>
      </w:pPr>
      <w:r>
        <w:rPr>
          <w:bCs/>
          <w:sz w:val="36"/>
          <w:szCs w:val="36"/>
          <w:highlight w:val="none"/>
        </w:rPr>
        <w:t>项目名称：</w:t>
      </w:r>
      <w:r>
        <w:rPr>
          <w:rFonts w:hint="eastAsia"/>
          <w:bCs/>
          <w:sz w:val="36"/>
          <w:szCs w:val="36"/>
          <w:highlight w:val="none"/>
          <w:lang w:eastAsia="zh-CN"/>
        </w:rPr>
        <w:t>西太湖文旅办公室硬装采购项目</w:t>
      </w:r>
    </w:p>
    <w:p>
      <w:pPr>
        <w:tabs>
          <w:tab w:val="left" w:pos="5609"/>
        </w:tabs>
        <w:ind w:left="2832" w:leftChars="444" w:hanging="1900" w:hangingChars="528"/>
        <w:jc w:val="left"/>
        <w:rPr>
          <w:bCs/>
          <w:sz w:val="36"/>
          <w:szCs w:val="36"/>
          <w:highlight w:val="none"/>
        </w:rPr>
      </w:pPr>
      <w:r>
        <w:rPr>
          <w:bCs/>
          <w:sz w:val="36"/>
          <w:szCs w:val="36"/>
          <w:highlight w:val="none"/>
        </w:rPr>
        <w:tab/>
      </w:r>
      <w:r>
        <w:rPr>
          <w:bCs/>
          <w:sz w:val="36"/>
          <w:szCs w:val="36"/>
          <w:highlight w:val="none"/>
        </w:rPr>
        <w:tab/>
      </w:r>
    </w:p>
    <w:p>
      <w:pPr>
        <w:tabs>
          <w:tab w:val="left" w:pos="3240"/>
          <w:tab w:val="left" w:pos="3420"/>
        </w:tabs>
        <w:spacing w:line="480" w:lineRule="auto"/>
        <w:ind w:left="2832" w:leftChars="444" w:hanging="1900" w:hangingChars="528"/>
        <w:jc w:val="left"/>
        <w:rPr>
          <w:rFonts w:hint="eastAsia" w:eastAsia="宋体"/>
          <w:bCs/>
          <w:sz w:val="36"/>
          <w:szCs w:val="36"/>
          <w:highlight w:val="none"/>
          <w:lang w:eastAsia="zh-CN"/>
        </w:rPr>
      </w:pPr>
      <w:r>
        <w:rPr>
          <w:bCs/>
          <w:sz w:val="36"/>
          <w:szCs w:val="36"/>
          <w:highlight w:val="none"/>
        </w:rPr>
        <w:t>项目编号：</w:t>
      </w:r>
      <w:r>
        <w:rPr>
          <w:rFonts w:hint="eastAsia"/>
          <w:bCs/>
          <w:sz w:val="36"/>
          <w:szCs w:val="36"/>
          <w:highlight w:val="none"/>
          <w:lang w:eastAsia="zh-CN"/>
        </w:rPr>
        <w:t>CWZ2024-060</w:t>
      </w:r>
    </w:p>
    <w:p>
      <w:pPr>
        <w:tabs>
          <w:tab w:val="left" w:pos="3240"/>
          <w:tab w:val="left" w:pos="3420"/>
        </w:tabs>
        <w:spacing w:line="312" w:lineRule="auto"/>
        <w:ind w:left="2832" w:leftChars="444" w:hanging="1900" w:hangingChars="528"/>
        <w:jc w:val="left"/>
        <w:rPr>
          <w:rFonts w:hint="eastAsia" w:eastAsia="宋体"/>
          <w:bCs/>
          <w:sz w:val="36"/>
          <w:szCs w:val="36"/>
          <w:highlight w:val="none"/>
          <w:lang w:eastAsia="zh-CN"/>
        </w:rPr>
      </w:pPr>
      <w:r>
        <w:rPr>
          <w:bCs/>
          <w:sz w:val="36"/>
          <w:szCs w:val="36"/>
          <w:highlight w:val="none"/>
        </w:rPr>
        <w:t>采 购 人：</w:t>
      </w:r>
      <w:r>
        <w:rPr>
          <w:rFonts w:hint="eastAsia" w:ascii="宋体" w:hAnsi="宋体" w:eastAsia="宋体" w:cs="宋体"/>
          <w:bCs/>
          <w:sz w:val="36"/>
          <w:szCs w:val="36"/>
          <w:highlight w:val="none"/>
          <w:lang w:eastAsia="zh-CN"/>
        </w:rPr>
        <w:t>常州市西太湖旅游发展有限公司</w:t>
      </w:r>
    </w:p>
    <w:p>
      <w:pPr>
        <w:tabs>
          <w:tab w:val="left" w:pos="3240"/>
          <w:tab w:val="left" w:pos="3420"/>
        </w:tabs>
        <w:spacing w:line="312" w:lineRule="auto"/>
        <w:ind w:left="2832" w:leftChars="444" w:hanging="1900" w:hangingChars="528"/>
        <w:jc w:val="left"/>
        <w:rPr>
          <w:bCs/>
          <w:sz w:val="36"/>
          <w:szCs w:val="36"/>
          <w:highlight w:val="none"/>
        </w:rPr>
      </w:pPr>
    </w:p>
    <w:p>
      <w:pPr>
        <w:tabs>
          <w:tab w:val="left" w:pos="3240"/>
          <w:tab w:val="left" w:pos="3420"/>
        </w:tabs>
        <w:spacing w:line="312" w:lineRule="auto"/>
        <w:ind w:left="2832" w:leftChars="444" w:hanging="1900" w:hangingChars="528"/>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江苏春为全过程工程咨询有限公司</w:t>
      </w:r>
    </w:p>
    <w:p>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 xml:space="preserve"> </w:t>
      </w:r>
    </w:p>
    <w:p>
      <w:pPr>
        <w:widowControl/>
        <w:jc w:val="center"/>
        <w:rPr>
          <w:b/>
          <w:sz w:val="36"/>
          <w:szCs w:val="36"/>
          <w:highlight w:val="none"/>
        </w:rPr>
      </w:pPr>
      <w:r>
        <w:rPr>
          <w:b/>
          <w:bCs/>
          <w:sz w:val="44"/>
          <w:highlight w:val="none"/>
        </w:rPr>
        <w:br w:type="page"/>
      </w:r>
      <w:bookmarkStart w:id="0" w:name="_Toc104818924"/>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0"/>
    </w:p>
    <w:p>
      <w:pPr>
        <w:rPr>
          <w:highlight w:val="none"/>
        </w:rPr>
      </w:pPr>
    </w:p>
    <w:p>
      <w:pPr>
        <w:rPr>
          <w:highlight w:val="none"/>
        </w:rPr>
      </w:pPr>
    </w:p>
    <w:p>
      <w:pPr>
        <w:rPr>
          <w:highlight w:val="none"/>
        </w:rPr>
      </w:pPr>
    </w:p>
    <w:p>
      <w:pPr>
        <w:rPr>
          <w:highlight w:val="none"/>
        </w:rPr>
      </w:pPr>
    </w:p>
    <w:p>
      <w:pPr>
        <w:pStyle w:val="88"/>
        <w:rPr>
          <w:rFonts w:ascii="Calibri" w:hAnsi="Calibri"/>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pPr>
        <w:pStyle w:val="88"/>
        <w:rPr>
          <w:rFonts w:ascii="Calibri" w:hAnsi="Calibri"/>
          <w:b w:val="0"/>
          <w:sz w:val="21"/>
          <w:szCs w:val="22"/>
          <w:highlight w:val="none"/>
        </w:rPr>
      </w:pPr>
      <w:r>
        <w:rPr>
          <w:highlight w:val="none"/>
        </w:rPr>
        <w:fldChar w:fldCharType="begin"/>
      </w:r>
      <w:r>
        <w:rPr>
          <w:highlight w:val="none"/>
        </w:rPr>
        <w:instrText xml:space="preserve"> HYPERLINK \l "_Toc104818925" </w:instrText>
      </w:r>
      <w:r>
        <w:rPr>
          <w:highlight w:val="none"/>
        </w:rPr>
        <w:fldChar w:fldCharType="separate"/>
      </w:r>
      <w:r>
        <w:rPr>
          <w:rStyle w:val="59"/>
          <w:rFonts w:hint="eastAsia"/>
          <w:highlight w:val="none"/>
        </w:rPr>
        <w:t>第一章</w:t>
      </w:r>
      <w:r>
        <w:rPr>
          <w:rStyle w:val="59"/>
          <w:highlight w:val="none"/>
        </w:rPr>
        <w:t xml:space="preserve">   </w:t>
      </w:r>
      <w:r>
        <w:rPr>
          <w:rStyle w:val="59"/>
          <w:rFonts w:hint="eastAsia"/>
          <w:highlight w:val="none"/>
        </w:rPr>
        <w:t>竞争性磋商公告</w:t>
      </w:r>
      <w:r>
        <w:rPr>
          <w:highlight w:val="none"/>
        </w:rPr>
        <w:tab/>
      </w:r>
      <w:r>
        <w:rPr>
          <w:highlight w:val="none"/>
        </w:rPr>
        <w:fldChar w:fldCharType="begin"/>
      </w:r>
      <w:r>
        <w:rPr>
          <w:highlight w:val="none"/>
        </w:rPr>
        <w:instrText xml:space="preserve"> PAGEREF _Toc104818925 \h </w:instrText>
      </w:r>
      <w:r>
        <w:rPr>
          <w:highlight w:val="none"/>
        </w:rPr>
        <w:fldChar w:fldCharType="separate"/>
      </w:r>
      <w:r>
        <w:rPr>
          <w:highlight w:val="none"/>
        </w:rPr>
        <w:t>1</w:t>
      </w:r>
      <w:r>
        <w:rPr>
          <w:highlight w:val="none"/>
        </w:rPr>
        <w:fldChar w:fldCharType="end"/>
      </w:r>
      <w:r>
        <w:rPr>
          <w:highlight w:val="none"/>
        </w:rPr>
        <w:fldChar w:fldCharType="end"/>
      </w:r>
    </w:p>
    <w:p>
      <w:pPr>
        <w:pStyle w:val="88"/>
        <w:rPr>
          <w:rFonts w:ascii="Calibri" w:hAnsi="Calibri"/>
          <w:b w:val="0"/>
          <w:sz w:val="21"/>
          <w:szCs w:val="22"/>
          <w:highlight w:val="none"/>
        </w:rPr>
      </w:pPr>
      <w:r>
        <w:rPr>
          <w:highlight w:val="none"/>
        </w:rPr>
        <w:fldChar w:fldCharType="begin"/>
      </w:r>
      <w:r>
        <w:rPr>
          <w:highlight w:val="none"/>
        </w:rPr>
        <w:instrText xml:space="preserve"> HYPERLINK \l "_Toc104818926" </w:instrText>
      </w:r>
      <w:r>
        <w:rPr>
          <w:highlight w:val="none"/>
        </w:rPr>
        <w:fldChar w:fldCharType="separate"/>
      </w:r>
      <w:r>
        <w:rPr>
          <w:rStyle w:val="59"/>
          <w:rFonts w:hint="eastAsia"/>
          <w:highlight w:val="none"/>
        </w:rPr>
        <w:t>第二章</w:t>
      </w:r>
      <w:r>
        <w:rPr>
          <w:rStyle w:val="59"/>
          <w:highlight w:val="none"/>
        </w:rPr>
        <w:t xml:space="preserve">   </w:t>
      </w:r>
      <w:r>
        <w:rPr>
          <w:rStyle w:val="59"/>
          <w:rFonts w:hint="eastAsia"/>
          <w:highlight w:val="none"/>
        </w:rPr>
        <w:t>供应商须知</w:t>
      </w:r>
      <w:r>
        <w:rPr>
          <w:highlight w:val="none"/>
        </w:rPr>
        <w:tab/>
      </w:r>
      <w:r>
        <w:rPr>
          <w:highlight w:val="none"/>
        </w:rPr>
        <w:fldChar w:fldCharType="begin"/>
      </w:r>
      <w:r>
        <w:rPr>
          <w:highlight w:val="none"/>
        </w:rPr>
        <w:instrText xml:space="preserve"> PAGEREF _Toc104818926 \h </w:instrText>
      </w:r>
      <w:r>
        <w:rPr>
          <w:highlight w:val="none"/>
        </w:rPr>
        <w:fldChar w:fldCharType="separate"/>
      </w:r>
      <w:r>
        <w:rPr>
          <w:highlight w:val="none"/>
        </w:rPr>
        <w:t>4</w:t>
      </w:r>
      <w:r>
        <w:rPr>
          <w:highlight w:val="none"/>
        </w:rPr>
        <w:fldChar w:fldCharType="end"/>
      </w:r>
      <w:r>
        <w:rPr>
          <w:highlight w:val="none"/>
        </w:rPr>
        <w:fldChar w:fldCharType="end"/>
      </w:r>
    </w:p>
    <w:p>
      <w:pPr>
        <w:pStyle w:val="88"/>
        <w:rPr>
          <w:rFonts w:ascii="Calibri" w:hAnsi="Calibri"/>
          <w:b w:val="0"/>
          <w:sz w:val="21"/>
          <w:szCs w:val="22"/>
          <w:highlight w:val="none"/>
        </w:rPr>
      </w:pPr>
      <w:r>
        <w:rPr>
          <w:highlight w:val="none"/>
        </w:rPr>
        <w:fldChar w:fldCharType="begin"/>
      </w:r>
      <w:r>
        <w:rPr>
          <w:highlight w:val="none"/>
        </w:rPr>
        <w:instrText xml:space="preserve"> HYPERLINK \l "_Toc104818927" </w:instrText>
      </w:r>
      <w:r>
        <w:rPr>
          <w:highlight w:val="none"/>
        </w:rPr>
        <w:fldChar w:fldCharType="separate"/>
      </w:r>
      <w:r>
        <w:rPr>
          <w:rStyle w:val="59"/>
          <w:rFonts w:hint="eastAsia"/>
          <w:highlight w:val="none"/>
        </w:rPr>
        <w:t>第三章</w:t>
      </w:r>
      <w:r>
        <w:rPr>
          <w:rStyle w:val="59"/>
          <w:highlight w:val="none"/>
        </w:rPr>
        <w:t xml:space="preserve">   </w:t>
      </w:r>
      <w:r>
        <w:rPr>
          <w:rStyle w:val="59"/>
          <w:rFonts w:hint="eastAsia"/>
          <w:highlight w:val="none"/>
        </w:rPr>
        <w:t>评审程序、评审方法和评审标准</w:t>
      </w:r>
      <w:r>
        <w:rPr>
          <w:highlight w:val="none"/>
        </w:rPr>
        <w:tab/>
      </w:r>
      <w:r>
        <w:rPr>
          <w:highlight w:val="none"/>
        </w:rPr>
        <w:fldChar w:fldCharType="begin"/>
      </w:r>
      <w:r>
        <w:rPr>
          <w:highlight w:val="none"/>
        </w:rPr>
        <w:instrText xml:space="preserve"> PAGEREF _Toc104818927 \h </w:instrText>
      </w:r>
      <w:r>
        <w:rPr>
          <w:highlight w:val="none"/>
        </w:rPr>
        <w:fldChar w:fldCharType="separate"/>
      </w:r>
      <w:r>
        <w:rPr>
          <w:highlight w:val="none"/>
        </w:rPr>
        <w:t>15</w:t>
      </w:r>
      <w:r>
        <w:rPr>
          <w:highlight w:val="none"/>
        </w:rPr>
        <w:fldChar w:fldCharType="end"/>
      </w:r>
      <w:r>
        <w:rPr>
          <w:highlight w:val="none"/>
        </w:rPr>
        <w:fldChar w:fldCharType="end"/>
      </w:r>
    </w:p>
    <w:p>
      <w:pPr>
        <w:pStyle w:val="88"/>
        <w:rPr>
          <w:rFonts w:ascii="Calibri" w:hAnsi="Calibri"/>
          <w:b w:val="0"/>
          <w:sz w:val="21"/>
          <w:szCs w:val="22"/>
          <w:highlight w:val="none"/>
        </w:rPr>
      </w:pPr>
      <w:r>
        <w:rPr>
          <w:highlight w:val="none"/>
        </w:rPr>
        <w:fldChar w:fldCharType="begin"/>
      </w:r>
      <w:r>
        <w:rPr>
          <w:highlight w:val="none"/>
        </w:rPr>
        <w:instrText xml:space="preserve"> HYPERLINK \l "_Toc104818928" </w:instrText>
      </w:r>
      <w:r>
        <w:rPr>
          <w:highlight w:val="none"/>
        </w:rPr>
        <w:fldChar w:fldCharType="separate"/>
      </w:r>
      <w:r>
        <w:rPr>
          <w:rStyle w:val="59"/>
          <w:rFonts w:hint="eastAsia"/>
          <w:highlight w:val="none"/>
        </w:rPr>
        <w:t>第四章</w:t>
      </w:r>
      <w:r>
        <w:rPr>
          <w:rStyle w:val="59"/>
          <w:highlight w:val="none"/>
        </w:rPr>
        <w:t xml:space="preserve">   </w:t>
      </w:r>
      <w:r>
        <w:rPr>
          <w:rStyle w:val="59"/>
          <w:rFonts w:hint="eastAsia"/>
          <w:highlight w:val="none"/>
        </w:rPr>
        <w:t>采购需求</w:t>
      </w:r>
      <w:r>
        <w:rPr>
          <w:highlight w:val="none"/>
        </w:rPr>
        <w:tab/>
      </w:r>
      <w:r>
        <w:rPr>
          <w:highlight w:val="none"/>
        </w:rPr>
        <w:fldChar w:fldCharType="begin"/>
      </w:r>
      <w:r>
        <w:rPr>
          <w:highlight w:val="none"/>
        </w:rPr>
        <w:instrText xml:space="preserve"> PAGEREF _Toc104818928 \h </w:instrText>
      </w:r>
      <w:r>
        <w:rPr>
          <w:highlight w:val="none"/>
        </w:rPr>
        <w:fldChar w:fldCharType="separate"/>
      </w:r>
      <w:r>
        <w:rPr>
          <w:highlight w:val="none"/>
        </w:rPr>
        <w:t>22</w:t>
      </w:r>
      <w:r>
        <w:rPr>
          <w:highlight w:val="none"/>
        </w:rPr>
        <w:fldChar w:fldCharType="end"/>
      </w:r>
      <w:r>
        <w:rPr>
          <w:highlight w:val="none"/>
        </w:rPr>
        <w:fldChar w:fldCharType="end"/>
      </w:r>
    </w:p>
    <w:p>
      <w:pPr>
        <w:pStyle w:val="88"/>
        <w:rPr>
          <w:rFonts w:ascii="Calibri" w:hAnsi="Calibri"/>
          <w:b w:val="0"/>
          <w:sz w:val="21"/>
          <w:szCs w:val="22"/>
          <w:highlight w:val="none"/>
        </w:rPr>
      </w:pPr>
      <w:r>
        <w:rPr>
          <w:highlight w:val="none"/>
        </w:rPr>
        <w:fldChar w:fldCharType="begin"/>
      </w:r>
      <w:r>
        <w:rPr>
          <w:highlight w:val="none"/>
        </w:rPr>
        <w:instrText xml:space="preserve"> HYPERLINK \l "_Toc104818929" </w:instrText>
      </w:r>
      <w:r>
        <w:rPr>
          <w:highlight w:val="none"/>
        </w:rPr>
        <w:fldChar w:fldCharType="separate"/>
      </w:r>
      <w:r>
        <w:rPr>
          <w:rStyle w:val="59"/>
          <w:rFonts w:hint="eastAsia"/>
          <w:highlight w:val="none"/>
        </w:rPr>
        <w:t>第五章</w:t>
      </w:r>
      <w:r>
        <w:rPr>
          <w:rStyle w:val="59"/>
          <w:highlight w:val="none"/>
        </w:rPr>
        <w:t xml:space="preserve">   </w:t>
      </w:r>
      <w:r>
        <w:rPr>
          <w:rStyle w:val="59"/>
          <w:rFonts w:hint="eastAsia"/>
          <w:highlight w:val="none"/>
        </w:rPr>
        <w:t>合同草案条款</w:t>
      </w:r>
      <w:r>
        <w:rPr>
          <w:highlight w:val="none"/>
        </w:rPr>
        <w:tab/>
      </w:r>
      <w:r>
        <w:rPr>
          <w:highlight w:val="none"/>
        </w:rPr>
        <w:fldChar w:fldCharType="begin"/>
      </w:r>
      <w:r>
        <w:rPr>
          <w:highlight w:val="none"/>
        </w:rPr>
        <w:instrText xml:space="preserve"> PAGEREF _Toc104818929 \h </w:instrText>
      </w:r>
      <w:r>
        <w:rPr>
          <w:highlight w:val="none"/>
        </w:rPr>
        <w:fldChar w:fldCharType="separate"/>
      </w:r>
      <w:r>
        <w:rPr>
          <w:highlight w:val="none"/>
        </w:rPr>
        <w:t>25</w:t>
      </w:r>
      <w:r>
        <w:rPr>
          <w:highlight w:val="none"/>
        </w:rPr>
        <w:fldChar w:fldCharType="end"/>
      </w:r>
      <w:r>
        <w:rPr>
          <w:highlight w:val="none"/>
        </w:rPr>
        <w:fldChar w:fldCharType="end"/>
      </w:r>
    </w:p>
    <w:p>
      <w:pPr>
        <w:pStyle w:val="88"/>
        <w:rPr>
          <w:rFonts w:ascii="Calibri" w:hAnsi="Calibri"/>
          <w:b w:val="0"/>
          <w:sz w:val="21"/>
          <w:szCs w:val="22"/>
          <w:highlight w:val="none"/>
        </w:rPr>
      </w:pPr>
      <w:r>
        <w:rPr>
          <w:highlight w:val="none"/>
        </w:rPr>
        <w:fldChar w:fldCharType="begin"/>
      </w:r>
      <w:r>
        <w:rPr>
          <w:highlight w:val="none"/>
        </w:rPr>
        <w:instrText xml:space="preserve"> HYPERLINK \l "_Toc104818930" </w:instrText>
      </w:r>
      <w:r>
        <w:rPr>
          <w:highlight w:val="none"/>
        </w:rPr>
        <w:fldChar w:fldCharType="separate"/>
      </w:r>
      <w:r>
        <w:rPr>
          <w:rStyle w:val="59"/>
          <w:rFonts w:hint="eastAsia"/>
          <w:highlight w:val="none"/>
        </w:rPr>
        <w:t>第六章</w:t>
      </w:r>
      <w:r>
        <w:rPr>
          <w:rStyle w:val="59"/>
          <w:highlight w:val="none"/>
        </w:rPr>
        <w:t xml:space="preserve">   </w:t>
      </w:r>
      <w:r>
        <w:rPr>
          <w:rStyle w:val="59"/>
          <w:rFonts w:hint="eastAsia"/>
          <w:highlight w:val="none"/>
        </w:rPr>
        <w:t>响应文件格式</w:t>
      </w:r>
      <w:r>
        <w:rPr>
          <w:highlight w:val="none"/>
        </w:rPr>
        <w:tab/>
      </w:r>
      <w:r>
        <w:rPr>
          <w:highlight w:val="none"/>
        </w:rPr>
        <w:fldChar w:fldCharType="begin"/>
      </w:r>
      <w:r>
        <w:rPr>
          <w:highlight w:val="none"/>
        </w:rPr>
        <w:instrText xml:space="preserve"> PAGEREF _Toc104818930 \h </w:instrText>
      </w:r>
      <w:r>
        <w:rPr>
          <w:highlight w:val="none"/>
        </w:rPr>
        <w:fldChar w:fldCharType="separate"/>
      </w:r>
      <w:r>
        <w:rPr>
          <w:highlight w:val="none"/>
        </w:rPr>
        <w:t>28</w:t>
      </w:r>
      <w:r>
        <w:rPr>
          <w:highlight w:val="none"/>
        </w:rPr>
        <w:fldChar w:fldCharType="end"/>
      </w:r>
      <w:r>
        <w:rPr>
          <w:highlight w:val="none"/>
        </w:rPr>
        <w:fldChar w:fldCharType="end"/>
      </w:r>
    </w:p>
    <w:p>
      <w:pPr>
        <w:pStyle w:val="88"/>
        <w:spacing w:line="360" w:lineRule="auto"/>
        <w:rPr>
          <w:rFonts w:ascii="Times New Roman" w:hAnsi="Times New Roman"/>
          <w:b w:val="0"/>
          <w:highlight w:val="none"/>
        </w:rPr>
      </w:pPr>
      <w:r>
        <w:rPr>
          <w:rFonts w:ascii="Times New Roman" w:hAnsi="Times New Roman"/>
          <w:b w:val="0"/>
          <w:highlight w:val="none"/>
        </w:rPr>
        <w:fldChar w:fldCharType="end"/>
      </w:r>
    </w:p>
    <w:p>
      <w:pPr>
        <w:pStyle w:val="88"/>
        <w:spacing w:line="360" w:lineRule="auto"/>
        <w:rPr>
          <w:b w:val="0"/>
          <w:sz w:val="36"/>
          <w:szCs w:val="36"/>
          <w:highlight w:val="none"/>
        </w:rPr>
      </w:pPr>
    </w:p>
    <w:p>
      <w:pPr>
        <w:spacing w:line="360" w:lineRule="auto"/>
        <w:jc w:val="center"/>
        <w:outlineLvl w:val="0"/>
        <w:rPr>
          <w:b/>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jc w:val="center"/>
        <w:rPr>
          <w:b/>
          <w:sz w:val="36"/>
          <w:szCs w:val="36"/>
          <w:highlight w:val="none"/>
        </w:rPr>
      </w:pPr>
      <w:bookmarkStart w:id="1" w:name="_Toc104818925"/>
      <w:r>
        <w:rPr>
          <w:b/>
          <w:sz w:val="36"/>
          <w:szCs w:val="36"/>
          <w:highlight w:val="none"/>
        </w:rPr>
        <w:t xml:space="preserve">第一章   </w:t>
      </w:r>
      <w:bookmarkEnd w:id="1"/>
      <w:bookmarkStart w:id="2" w:name="_Toc35393621"/>
      <w:bookmarkStart w:id="3" w:name="_Hlk24379207"/>
      <w:bookmarkStart w:id="4" w:name="_Toc28359079"/>
      <w:bookmarkStart w:id="5" w:name="_Toc35393790"/>
      <w:bookmarkStart w:id="6" w:name="_Toc28359002"/>
      <w:r>
        <w:rPr>
          <w:rFonts w:hint="eastAsia"/>
          <w:b/>
          <w:sz w:val="36"/>
          <w:szCs w:val="36"/>
          <w:highlight w:val="none"/>
        </w:rPr>
        <w:t>竞争性磋商公告</w:t>
      </w:r>
    </w:p>
    <w:p>
      <w:pPr>
        <w:pBdr>
          <w:top w:val="single" w:color="auto" w:sz="4" w:space="1"/>
          <w:left w:val="single" w:color="auto" w:sz="4" w:space="4"/>
          <w:bottom w:val="single" w:color="auto" w:sz="4" w:space="1"/>
          <w:right w:val="single" w:color="auto" w:sz="4" w:space="4"/>
        </w:pBdr>
        <w:rPr>
          <w:rFonts w:ascii="宋体" w:hAnsi="宋体"/>
          <w:sz w:val="24"/>
          <w:highlight w:val="none"/>
        </w:rPr>
      </w:pPr>
      <w:r>
        <w:rPr>
          <w:rFonts w:ascii="宋体" w:hAnsi="宋体"/>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cs="仿宋_GB2312"/>
          <w:bCs/>
          <w:spacing w:val="2"/>
          <w:sz w:val="24"/>
          <w:highlight w:val="none"/>
          <w:lang w:val="zh-CN"/>
        </w:rPr>
      </w:pPr>
      <w:r>
        <w:rPr>
          <w:rFonts w:hint="eastAsia" w:ascii="宋体" w:hAnsi="宋体"/>
          <w:sz w:val="24"/>
          <w:highlight w:val="none"/>
          <w:u w:val="single"/>
          <w:lang w:eastAsia="zh-CN"/>
        </w:rPr>
        <w:t>西太湖文旅办公室硬装采购项目</w:t>
      </w:r>
      <w:r>
        <w:rPr>
          <w:rFonts w:ascii="宋体" w:hAnsi="宋体"/>
          <w:sz w:val="24"/>
          <w:highlight w:val="none"/>
        </w:rPr>
        <w:t>的潜在供应商应在</w:t>
      </w:r>
      <w:r>
        <w:rPr>
          <w:rFonts w:ascii="宋体" w:hAnsi="宋体"/>
          <w:sz w:val="24"/>
          <w:highlight w:val="none"/>
          <w:u w:val="single"/>
        </w:rPr>
        <w:t>江苏春为全过程工程咨询有限公司（</w:t>
      </w:r>
      <w:r>
        <w:rPr>
          <w:rFonts w:hint="eastAsia" w:ascii="宋体" w:hAnsi="宋体"/>
          <w:sz w:val="24"/>
          <w:highlight w:val="none"/>
        </w:rPr>
        <w:t>常州市武进区湖滨南路招商花园城蓝图大厦4楼0</w:t>
      </w:r>
      <w:r>
        <w:rPr>
          <w:rFonts w:ascii="宋体" w:hAnsi="宋体"/>
          <w:sz w:val="24"/>
          <w:highlight w:val="none"/>
        </w:rPr>
        <w:t>28）获取磋商文件，并于</w:t>
      </w:r>
      <w:r>
        <w:rPr>
          <w:rFonts w:hint="eastAsia" w:ascii="宋体" w:hAnsi="宋体" w:cs="仿宋_GB2312"/>
          <w:bCs/>
          <w:spacing w:val="2"/>
          <w:sz w:val="24"/>
          <w:highlight w:val="none"/>
          <w:lang w:val="zh-CN"/>
        </w:rPr>
        <w:t>2024</w:t>
      </w:r>
      <w:r>
        <w:rPr>
          <w:rFonts w:ascii="宋体" w:hAnsi="宋体" w:cs="仿宋_GB2312"/>
          <w:bCs/>
          <w:spacing w:val="2"/>
          <w:sz w:val="24"/>
          <w:highlight w:val="none"/>
          <w:lang w:val="zh-CN"/>
        </w:rPr>
        <w:t>年</w:t>
      </w:r>
      <w:r>
        <w:rPr>
          <w:rFonts w:hint="eastAsia" w:ascii="宋体" w:hAnsi="宋体" w:cs="仿宋_GB2312"/>
          <w:bCs/>
          <w:spacing w:val="2"/>
          <w:sz w:val="24"/>
          <w:highlight w:val="none"/>
          <w:lang w:val="en-US" w:eastAsia="zh-CN"/>
        </w:rPr>
        <w:t>5</w:t>
      </w:r>
      <w:r>
        <w:rPr>
          <w:rFonts w:ascii="宋体" w:hAnsi="宋体" w:cs="仿宋_GB2312"/>
          <w:bCs/>
          <w:spacing w:val="2"/>
          <w:sz w:val="24"/>
          <w:highlight w:val="none"/>
          <w:lang w:val="zh-CN"/>
        </w:rPr>
        <w:t>月</w:t>
      </w:r>
      <w:r>
        <w:rPr>
          <w:rFonts w:hint="eastAsia" w:ascii="宋体" w:hAnsi="宋体" w:cs="仿宋_GB2312"/>
          <w:bCs/>
          <w:spacing w:val="2"/>
          <w:sz w:val="24"/>
          <w:highlight w:val="none"/>
          <w:lang w:val="en-US" w:eastAsia="zh-CN"/>
        </w:rPr>
        <w:t>20</w:t>
      </w:r>
      <w:r>
        <w:rPr>
          <w:rFonts w:ascii="宋体" w:hAnsi="宋体" w:cs="仿宋_GB2312"/>
          <w:bCs/>
          <w:spacing w:val="2"/>
          <w:sz w:val="24"/>
          <w:highlight w:val="none"/>
          <w:lang w:val="zh-CN"/>
        </w:rPr>
        <w:t>日</w:t>
      </w:r>
      <w:r>
        <w:rPr>
          <w:rFonts w:hint="eastAsia" w:ascii="宋体" w:hAnsi="宋体" w:cs="仿宋_GB2312"/>
          <w:bCs/>
          <w:spacing w:val="2"/>
          <w:sz w:val="24"/>
          <w:highlight w:val="none"/>
          <w:lang w:val="en-US" w:eastAsia="zh-CN"/>
        </w:rPr>
        <w:t>14</w:t>
      </w:r>
      <w:r>
        <w:rPr>
          <w:rFonts w:ascii="宋体" w:hAnsi="宋体" w:cs="仿宋_GB2312"/>
          <w:bCs/>
          <w:spacing w:val="2"/>
          <w:sz w:val="24"/>
          <w:highlight w:val="none"/>
          <w:lang w:val="zh-CN"/>
        </w:rPr>
        <w:t>点</w:t>
      </w:r>
      <w:r>
        <w:rPr>
          <w:rFonts w:hint="eastAsia" w:ascii="宋体" w:hAnsi="宋体" w:cs="仿宋_GB2312"/>
          <w:bCs/>
          <w:spacing w:val="2"/>
          <w:sz w:val="24"/>
          <w:highlight w:val="none"/>
          <w:lang w:val="en-US" w:eastAsia="zh-CN"/>
        </w:rPr>
        <w:t>00</w:t>
      </w:r>
      <w:r>
        <w:rPr>
          <w:rFonts w:ascii="宋体" w:hAnsi="宋体" w:cs="仿宋_GB2312"/>
          <w:bCs/>
          <w:spacing w:val="2"/>
          <w:sz w:val="24"/>
          <w:highlight w:val="none"/>
          <w:lang w:val="zh-CN"/>
        </w:rPr>
        <w:t>分（北京时间）前提交响应文件。</w:t>
      </w:r>
    </w:p>
    <w:p>
      <w:pPr>
        <w:pStyle w:val="4"/>
        <w:spacing w:before="0" w:line="400" w:lineRule="exact"/>
        <w:jc w:val="left"/>
        <w:rPr>
          <w:rFonts w:ascii="宋体" w:hAnsi="宋体" w:eastAsia="宋体"/>
          <w:sz w:val="24"/>
          <w:szCs w:val="24"/>
          <w:highlight w:val="none"/>
        </w:rPr>
      </w:pPr>
      <w:bookmarkStart w:id="7" w:name="_Toc35393798"/>
      <w:bookmarkStart w:id="8" w:name="_Toc35393629"/>
      <w:bookmarkStart w:id="9" w:name="_Toc28359089"/>
      <w:bookmarkStart w:id="10" w:name="_Toc28359012"/>
      <w:r>
        <w:rPr>
          <w:rFonts w:ascii="宋体" w:hAnsi="宋体" w:eastAsia="宋体"/>
          <w:sz w:val="24"/>
          <w:szCs w:val="24"/>
          <w:highlight w:val="none"/>
        </w:rPr>
        <w:t>一、项目基本情况</w:t>
      </w:r>
      <w:bookmarkEnd w:id="7"/>
      <w:bookmarkEnd w:id="8"/>
      <w:bookmarkEnd w:id="9"/>
      <w:bookmarkEnd w:id="10"/>
    </w:p>
    <w:p>
      <w:pPr>
        <w:spacing w:line="400" w:lineRule="exact"/>
        <w:ind w:firstLine="480" w:firstLineChars="200"/>
        <w:rPr>
          <w:rFonts w:hint="eastAsia" w:ascii="宋体" w:hAnsi="宋体" w:eastAsia="宋体"/>
          <w:sz w:val="24"/>
          <w:highlight w:val="none"/>
          <w:lang w:eastAsia="zh-CN"/>
        </w:rPr>
      </w:pPr>
      <w:r>
        <w:rPr>
          <w:rFonts w:ascii="宋体" w:hAnsi="宋体"/>
          <w:sz w:val="24"/>
          <w:highlight w:val="none"/>
        </w:rPr>
        <w:t>项目编号：</w:t>
      </w:r>
      <w:r>
        <w:rPr>
          <w:rFonts w:hint="eastAsia" w:ascii="宋体" w:hAnsi="宋体"/>
          <w:sz w:val="24"/>
          <w:highlight w:val="none"/>
          <w:lang w:eastAsia="zh-CN"/>
        </w:rPr>
        <w:t>CWZ2024-060</w:t>
      </w:r>
    </w:p>
    <w:p>
      <w:pPr>
        <w:spacing w:line="400" w:lineRule="exact"/>
        <w:ind w:firstLine="480" w:firstLineChars="200"/>
        <w:rPr>
          <w:rFonts w:hint="eastAsia" w:ascii="宋体" w:hAnsi="宋体" w:eastAsia="宋体"/>
          <w:sz w:val="24"/>
          <w:highlight w:val="none"/>
          <w:u w:val="single"/>
          <w:lang w:eastAsia="zh-CN"/>
        </w:rPr>
      </w:pPr>
      <w:r>
        <w:rPr>
          <w:rFonts w:ascii="宋体" w:hAnsi="宋体"/>
          <w:sz w:val="24"/>
          <w:highlight w:val="none"/>
        </w:rPr>
        <w:t>项目名称：</w:t>
      </w:r>
      <w:r>
        <w:rPr>
          <w:rFonts w:hint="eastAsia" w:ascii="宋体" w:hAnsi="宋体"/>
          <w:sz w:val="24"/>
          <w:highlight w:val="none"/>
          <w:lang w:eastAsia="zh-CN"/>
        </w:rPr>
        <w:t>西太湖文旅办公室硬装采购项目</w:t>
      </w:r>
    </w:p>
    <w:p>
      <w:pPr>
        <w:spacing w:line="400" w:lineRule="exact"/>
        <w:ind w:firstLine="480" w:firstLineChars="200"/>
        <w:rPr>
          <w:rFonts w:ascii="宋体" w:hAnsi="宋体"/>
          <w:sz w:val="24"/>
          <w:highlight w:val="none"/>
        </w:rPr>
      </w:pPr>
      <w:r>
        <w:rPr>
          <w:rFonts w:ascii="宋体" w:hAnsi="宋体"/>
          <w:sz w:val="24"/>
          <w:highlight w:val="none"/>
        </w:rPr>
        <w:t>采购方式：竞争性磋商</w:t>
      </w:r>
    </w:p>
    <w:p>
      <w:pPr>
        <w:spacing w:line="400" w:lineRule="exact"/>
        <w:ind w:firstLine="480" w:firstLineChars="200"/>
        <w:rPr>
          <w:rFonts w:hint="default" w:ascii="宋体" w:hAnsi="宋体" w:eastAsia="宋体"/>
          <w:sz w:val="24"/>
          <w:highlight w:val="none"/>
          <w:lang w:val="en-US" w:eastAsia="zh-CN"/>
        </w:rPr>
      </w:pPr>
      <w:r>
        <w:rPr>
          <w:rFonts w:ascii="宋体" w:hAnsi="宋体"/>
          <w:sz w:val="24"/>
          <w:highlight w:val="none"/>
        </w:rPr>
        <w:t>预算金额</w:t>
      </w:r>
      <w:r>
        <w:rPr>
          <w:rFonts w:hint="eastAsia" w:ascii="宋体" w:hAnsi="宋体"/>
          <w:sz w:val="24"/>
          <w:highlight w:val="none"/>
          <w:lang w:eastAsia="zh-CN"/>
        </w:rPr>
        <w:t>：</w:t>
      </w:r>
      <w:r>
        <w:rPr>
          <w:rFonts w:hint="eastAsia" w:ascii="宋体" w:hAnsi="宋体" w:cs="宋体"/>
          <w:sz w:val="24"/>
          <w:szCs w:val="24"/>
          <w:highlight w:val="none"/>
          <w:lang w:val="en-US" w:eastAsia="zh-CN"/>
        </w:rPr>
        <w:t>17.9074</w:t>
      </w:r>
      <w:r>
        <w:rPr>
          <w:rFonts w:hint="eastAsia" w:ascii="宋体" w:hAnsi="宋体" w:eastAsia="宋体" w:cs="宋体"/>
          <w:sz w:val="24"/>
          <w:szCs w:val="24"/>
          <w:highlight w:val="none"/>
          <w:lang w:val="en-US" w:eastAsia="zh-CN"/>
        </w:rPr>
        <w:t>万元</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最高限价</w:t>
      </w:r>
      <w:r>
        <w:rPr>
          <w:rFonts w:hint="eastAsia" w:ascii="宋体" w:hAnsi="宋体"/>
          <w:color w:val="auto"/>
          <w:sz w:val="24"/>
          <w:highlight w:val="none"/>
        </w:rPr>
        <w:t>：</w:t>
      </w:r>
      <w:r>
        <w:rPr>
          <w:rFonts w:hint="eastAsia" w:ascii="宋体" w:hAnsi="宋体" w:cs="宋体"/>
          <w:sz w:val="24"/>
          <w:szCs w:val="24"/>
          <w:highlight w:val="none"/>
          <w:lang w:val="en-US" w:eastAsia="zh-CN"/>
        </w:rPr>
        <w:t>17.9074</w:t>
      </w:r>
      <w:r>
        <w:rPr>
          <w:rFonts w:hint="eastAsia" w:ascii="宋体" w:hAnsi="宋体" w:eastAsia="宋体" w:cs="宋体"/>
          <w:sz w:val="24"/>
          <w:szCs w:val="24"/>
          <w:highlight w:val="none"/>
          <w:lang w:val="en-US" w:eastAsia="zh-CN"/>
        </w:rPr>
        <w:t>万元</w:t>
      </w:r>
    </w:p>
    <w:p>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工期：</w:t>
      </w:r>
      <w:r>
        <w:rPr>
          <w:rFonts w:hint="eastAsia" w:ascii="宋体" w:hAnsi="宋体" w:eastAsia="宋体" w:cs="宋体"/>
          <w:snapToGrid w:val="0"/>
          <w:color w:val="000000"/>
          <w:kern w:val="0"/>
          <w:sz w:val="24"/>
          <w:szCs w:val="24"/>
          <w:lang w:val="en-US" w:eastAsia="zh-CN" w:bidi="ar"/>
        </w:rPr>
        <w:t>自合同签订之日起</w:t>
      </w:r>
      <w:r>
        <w:rPr>
          <w:rFonts w:hint="eastAsia" w:ascii="宋体" w:hAnsi="宋体" w:cs="宋体"/>
          <w:snapToGrid w:val="0"/>
          <w:color w:val="000000"/>
          <w:kern w:val="0"/>
          <w:sz w:val="24"/>
          <w:szCs w:val="24"/>
          <w:lang w:val="en-US" w:eastAsia="zh-CN" w:bidi="ar"/>
        </w:rPr>
        <w:t>30</w:t>
      </w:r>
      <w:r>
        <w:rPr>
          <w:rFonts w:hint="eastAsia" w:ascii="宋体" w:hAnsi="宋体" w:eastAsia="宋体" w:cs="宋体"/>
          <w:snapToGrid w:val="0"/>
          <w:color w:val="000000"/>
          <w:kern w:val="0"/>
          <w:sz w:val="24"/>
          <w:szCs w:val="24"/>
          <w:lang w:val="en-US" w:eastAsia="zh-CN" w:bidi="ar"/>
        </w:rPr>
        <w:t>个日历</w:t>
      </w:r>
      <w:r>
        <w:rPr>
          <w:rFonts w:hint="eastAsia" w:ascii="宋体" w:hAnsi="宋体" w:cs="宋体"/>
          <w:snapToGrid w:val="0"/>
          <w:color w:val="000000"/>
          <w:kern w:val="0"/>
          <w:sz w:val="24"/>
          <w:szCs w:val="24"/>
          <w:lang w:val="en-US" w:eastAsia="zh-CN" w:bidi="ar"/>
        </w:rPr>
        <w:t>天</w:t>
      </w:r>
      <w:r>
        <w:rPr>
          <w:rFonts w:hint="eastAsia" w:ascii="宋体" w:hAnsi="宋体" w:eastAsia="宋体" w:cs="宋体"/>
          <w:snapToGrid w:val="0"/>
          <w:color w:val="000000"/>
          <w:kern w:val="0"/>
          <w:sz w:val="24"/>
          <w:szCs w:val="24"/>
          <w:lang w:val="en-US" w:eastAsia="zh-CN" w:bidi="ar"/>
        </w:rPr>
        <w:t>，同时施工工期必须严格服从采购单位的安排，满足工程进度的要求。</w:t>
      </w:r>
    </w:p>
    <w:p>
      <w:pPr>
        <w:widowControl/>
        <w:spacing w:line="400" w:lineRule="exact"/>
        <w:ind w:firstLine="480" w:firstLineChars="200"/>
        <w:jc w:val="left"/>
        <w:rPr>
          <w:rFonts w:ascii="宋体" w:hAnsi="宋体"/>
          <w:sz w:val="24"/>
          <w:highlight w:val="none"/>
        </w:rPr>
      </w:pPr>
      <w:r>
        <w:rPr>
          <w:rFonts w:ascii="宋体" w:hAnsi="宋体"/>
          <w:sz w:val="24"/>
          <w:highlight w:val="none"/>
        </w:rPr>
        <w:t>采购需求：</w:t>
      </w:r>
      <w:r>
        <w:rPr>
          <w:rFonts w:hint="eastAsia" w:ascii="宋体" w:hAnsi="宋体"/>
          <w:sz w:val="24"/>
          <w:highlight w:val="none"/>
        </w:rPr>
        <w:t>本项目是</w:t>
      </w:r>
      <w:r>
        <w:rPr>
          <w:rFonts w:hint="eastAsia" w:ascii="宋体" w:hAnsi="宋体"/>
          <w:sz w:val="24"/>
          <w:highlight w:val="none"/>
          <w:lang w:eastAsia="zh-CN"/>
        </w:rPr>
        <w:t>西太湖文旅办公室硬装采购项目，</w:t>
      </w:r>
      <w:r>
        <w:rPr>
          <w:rFonts w:hint="eastAsia" w:ascii="宋体" w:hAnsi="宋体"/>
          <w:sz w:val="24"/>
          <w:highlight w:val="none"/>
          <w:lang w:val="en-US" w:eastAsia="zh-CN"/>
        </w:rPr>
        <w:t>具体详见采购文件</w:t>
      </w:r>
      <w:r>
        <w:rPr>
          <w:rFonts w:hint="eastAsia" w:ascii="宋体" w:hAnsi="宋体"/>
          <w:sz w:val="24"/>
          <w:highlight w:val="none"/>
        </w:rPr>
        <w:t>。</w:t>
      </w:r>
    </w:p>
    <w:p>
      <w:pPr>
        <w:widowControl/>
        <w:spacing w:line="400" w:lineRule="exact"/>
        <w:ind w:firstLine="480" w:firstLineChars="200"/>
        <w:jc w:val="left"/>
        <w:rPr>
          <w:rFonts w:ascii="宋体" w:hAnsi="宋体"/>
          <w:sz w:val="24"/>
          <w:highlight w:val="none"/>
        </w:rPr>
      </w:pPr>
      <w:r>
        <w:rPr>
          <w:rFonts w:hint="eastAsia" w:ascii="宋体" w:hAnsi="宋体"/>
          <w:sz w:val="24"/>
          <w:highlight w:val="none"/>
        </w:rPr>
        <w:t>本项目不接受联合体。</w:t>
      </w:r>
    </w:p>
    <w:p>
      <w:pPr>
        <w:pStyle w:val="4"/>
        <w:spacing w:before="0"/>
        <w:jc w:val="left"/>
        <w:rPr>
          <w:rFonts w:ascii="宋体" w:hAnsi="宋体" w:eastAsia="宋体"/>
          <w:sz w:val="24"/>
          <w:szCs w:val="24"/>
          <w:highlight w:val="none"/>
        </w:rPr>
      </w:pPr>
      <w:bookmarkStart w:id="11" w:name="_Toc28359090"/>
      <w:bookmarkStart w:id="12" w:name="_Toc35393630"/>
      <w:bookmarkStart w:id="13" w:name="_Toc35393799"/>
      <w:bookmarkStart w:id="14" w:name="_Toc28359013"/>
      <w:r>
        <w:rPr>
          <w:rFonts w:ascii="宋体" w:hAnsi="宋体" w:eastAsia="宋体"/>
          <w:sz w:val="24"/>
          <w:szCs w:val="24"/>
          <w:highlight w:val="none"/>
        </w:rPr>
        <w:t>二、申请人的资格要求：</w:t>
      </w:r>
      <w:bookmarkEnd w:id="11"/>
      <w:bookmarkEnd w:id="12"/>
      <w:bookmarkEnd w:id="13"/>
      <w:bookmarkEnd w:id="14"/>
    </w:p>
    <w:p>
      <w:pPr>
        <w:ind w:firstLine="480" w:firstLineChars="200"/>
        <w:rPr>
          <w:rFonts w:ascii="宋体" w:hAnsi="宋体"/>
          <w:sz w:val="24"/>
          <w:highlight w:val="none"/>
        </w:rPr>
      </w:pPr>
      <w:bookmarkStart w:id="15" w:name="_Toc35393631"/>
      <w:bookmarkStart w:id="16" w:name="_Toc28359091"/>
      <w:bookmarkStart w:id="17" w:name="_Toc28359014"/>
      <w:bookmarkStart w:id="18" w:name="_Toc35393800"/>
      <w:r>
        <w:rPr>
          <w:rFonts w:ascii="宋体" w:hAnsi="宋体"/>
          <w:sz w:val="24"/>
          <w:highlight w:val="none"/>
        </w:rPr>
        <w:t>1.满足《中华人民共和国政府采购法》第二十二条规定以及下列情形：</w:t>
      </w:r>
    </w:p>
    <w:p>
      <w:pPr>
        <w:ind w:firstLine="480" w:firstLineChars="200"/>
        <w:rPr>
          <w:rFonts w:ascii="宋体" w:hAnsi="宋体"/>
          <w:sz w:val="24"/>
          <w:highlight w:val="none"/>
        </w:rPr>
      </w:pPr>
      <w:r>
        <w:rPr>
          <w:rFonts w:hint="eastAsia" w:ascii="宋体" w:hAnsi="宋体"/>
          <w:sz w:val="24"/>
          <w:highlight w:val="none"/>
          <w:lang w:val="en-US" w:eastAsia="zh-CN"/>
        </w:rPr>
        <w:t xml:space="preserve">1.1 </w:t>
      </w:r>
      <w:r>
        <w:rPr>
          <w:rFonts w:ascii="宋体" w:hAnsi="宋体"/>
          <w:sz w:val="24"/>
          <w:highlight w:val="none"/>
        </w:rPr>
        <w:t>未被“信用中国”网站（www.creditchina.gov.cn）或“中国政府采购网”网站（www.ccgp.gov.cn）</w:t>
      </w:r>
      <w:r>
        <w:rPr>
          <w:rFonts w:hint="eastAsia" w:ascii="宋体" w:hAnsi="宋体"/>
          <w:sz w:val="24"/>
          <w:highlight w:val="none"/>
        </w:rPr>
        <w:t>列入失信被执行人、重大税收违法案件当事人名单、政府采购严重违法失信行为记录名单的供应商；</w:t>
      </w:r>
    </w:p>
    <w:p>
      <w:pPr>
        <w:pStyle w:val="201"/>
        <w:ind w:firstLine="480" w:firstLineChars="200"/>
        <w:rPr>
          <w:highlight w:val="none"/>
        </w:rPr>
      </w:pPr>
      <w:r>
        <w:rPr>
          <w:rFonts w:hint="eastAsia" w:ascii="宋体" w:hAnsi="宋体"/>
          <w:sz w:val="24"/>
          <w:highlight w:val="none"/>
          <w:lang w:val="en-US" w:eastAsia="zh-CN"/>
        </w:rPr>
        <w:t xml:space="preserve">1.2 </w:t>
      </w:r>
      <w:r>
        <w:rPr>
          <w:rFonts w:ascii="宋体" w:hAnsi="宋体"/>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pPr>
        <w:ind w:firstLine="480" w:firstLineChars="200"/>
        <w:rPr>
          <w:rFonts w:ascii="宋体" w:hAnsi="宋体"/>
          <w:sz w:val="24"/>
          <w:highlight w:val="none"/>
        </w:rPr>
      </w:pPr>
      <w:r>
        <w:rPr>
          <w:rFonts w:hint="eastAsia" w:ascii="宋体" w:hAnsi="宋体"/>
          <w:sz w:val="24"/>
          <w:highlight w:val="none"/>
          <w:lang w:val="en-US" w:eastAsia="zh-CN"/>
        </w:rPr>
        <w:t>2</w:t>
      </w:r>
      <w:r>
        <w:rPr>
          <w:rFonts w:ascii="宋体" w:hAnsi="宋体"/>
          <w:sz w:val="24"/>
          <w:highlight w:val="none"/>
        </w:rPr>
        <w:t>.本项目的特定资格要求：</w:t>
      </w:r>
    </w:p>
    <w:p>
      <w:pPr>
        <w:ind w:firstLine="480" w:firstLineChars="200"/>
        <w:rPr>
          <w:rFonts w:ascii="宋体" w:hAnsi="宋体" w:eastAsia="宋体"/>
          <w:sz w:val="24"/>
          <w:highlight w:val="none"/>
        </w:rPr>
      </w:pPr>
      <w:r>
        <w:rPr>
          <w:rFonts w:hint="eastAsia" w:ascii="宋体" w:hAnsi="宋体"/>
          <w:sz w:val="24"/>
          <w:highlight w:val="none"/>
          <w:lang w:val="en-US" w:eastAsia="zh-CN"/>
        </w:rPr>
        <w:t>2</w:t>
      </w:r>
      <w:r>
        <w:rPr>
          <w:rFonts w:hint="eastAsia" w:ascii="宋体" w:hAnsi="宋体" w:eastAsia="宋体"/>
          <w:sz w:val="24"/>
          <w:highlight w:val="none"/>
          <w:lang w:val="en-US" w:eastAsia="zh-CN"/>
        </w:rPr>
        <w:t>.1供应商</w:t>
      </w:r>
      <w:r>
        <w:rPr>
          <w:rFonts w:ascii="宋体" w:hAnsi="宋体" w:eastAsia="宋体"/>
          <w:sz w:val="24"/>
          <w:highlight w:val="none"/>
        </w:rPr>
        <w:t>具备</w:t>
      </w:r>
      <w:r>
        <w:rPr>
          <w:rFonts w:hint="eastAsia" w:ascii="宋体" w:hAnsi="宋体" w:eastAsia="宋体"/>
          <w:sz w:val="24"/>
          <w:highlight w:val="none"/>
        </w:rPr>
        <w:t>建筑工程施工总承包叁级</w:t>
      </w:r>
      <w:r>
        <w:rPr>
          <w:rFonts w:hint="eastAsia" w:ascii="宋体" w:hAnsi="宋体"/>
          <w:sz w:val="24"/>
          <w:highlight w:val="none"/>
          <w:lang w:val="en-US" w:eastAsia="zh-CN"/>
        </w:rPr>
        <w:t>及</w:t>
      </w:r>
      <w:r>
        <w:rPr>
          <w:rFonts w:hint="eastAsia" w:ascii="宋体" w:hAnsi="宋体" w:eastAsia="宋体"/>
          <w:sz w:val="24"/>
          <w:highlight w:val="none"/>
        </w:rPr>
        <w:t>以上资质或</w:t>
      </w:r>
      <w:r>
        <w:rPr>
          <w:rFonts w:ascii="宋体" w:hAnsi="宋体" w:eastAsia="宋体"/>
          <w:sz w:val="24"/>
          <w:highlight w:val="none"/>
        </w:rPr>
        <w:t>建筑装修装饰工程专业承包贰级及以上</w:t>
      </w:r>
      <w:r>
        <w:rPr>
          <w:rFonts w:hint="eastAsia" w:ascii="宋体" w:hAnsi="宋体" w:eastAsia="宋体"/>
          <w:sz w:val="24"/>
          <w:highlight w:val="none"/>
          <w:lang w:val="en-US" w:eastAsia="zh-CN"/>
        </w:rPr>
        <w:t>资质</w:t>
      </w:r>
      <w:r>
        <w:rPr>
          <w:rFonts w:ascii="宋体" w:hAnsi="宋体" w:eastAsia="宋体"/>
          <w:sz w:val="24"/>
          <w:highlight w:val="none"/>
        </w:rPr>
        <w:t xml:space="preserve">； </w:t>
      </w:r>
    </w:p>
    <w:p>
      <w:pPr>
        <w:ind w:firstLine="480" w:firstLineChars="200"/>
        <w:rPr>
          <w:rFonts w:ascii="宋体" w:hAnsi="宋体" w:eastAsia="宋体"/>
          <w:sz w:val="24"/>
          <w:highlight w:val="none"/>
        </w:rPr>
      </w:pPr>
      <w:r>
        <w:rPr>
          <w:rFonts w:hint="eastAsia" w:ascii="宋体" w:hAnsi="宋体"/>
          <w:sz w:val="24"/>
          <w:highlight w:val="none"/>
          <w:lang w:val="en-US" w:eastAsia="zh-CN"/>
        </w:rPr>
        <w:t>2</w:t>
      </w:r>
      <w:r>
        <w:rPr>
          <w:rFonts w:hint="eastAsia" w:ascii="宋体" w:hAnsi="宋体" w:eastAsia="宋体"/>
          <w:sz w:val="24"/>
          <w:highlight w:val="none"/>
          <w:lang w:val="en-US" w:eastAsia="zh-CN"/>
        </w:rPr>
        <w:t>.2供应商</w:t>
      </w:r>
      <w:r>
        <w:rPr>
          <w:rFonts w:ascii="宋体" w:hAnsi="宋体" w:eastAsia="宋体"/>
          <w:sz w:val="24"/>
          <w:highlight w:val="none"/>
        </w:rPr>
        <w:t xml:space="preserve">具备安全生产许可证； </w:t>
      </w:r>
    </w:p>
    <w:p>
      <w:pPr>
        <w:ind w:firstLine="480" w:firstLineChars="200"/>
        <w:rPr>
          <w:rFonts w:ascii="宋体" w:hAnsi="宋体" w:eastAsia="宋体"/>
          <w:sz w:val="24"/>
          <w:highlight w:val="none"/>
        </w:rPr>
      </w:pPr>
      <w:r>
        <w:rPr>
          <w:rFonts w:hint="eastAsia" w:ascii="宋体" w:hAnsi="宋体"/>
          <w:sz w:val="24"/>
          <w:highlight w:val="none"/>
          <w:lang w:val="en-US" w:eastAsia="zh-CN"/>
        </w:rPr>
        <w:t>2</w:t>
      </w:r>
      <w:r>
        <w:rPr>
          <w:rFonts w:hint="eastAsia" w:ascii="宋体" w:hAnsi="宋体" w:eastAsia="宋体"/>
          <w:sz w:val="24"/>
          <w:highlight w:val="none"/>
          <w:lang w:val="en-US" w:eastAsia="zh-CN"/>
        </w:rPr>
        <w:t>.3</w:t>
      </w:r>
      <w:r>
        <w:rPr>
          <w:rFonts w:ascii="宋体" w:hAnsi="宋体" w:eastAsia="宋体"/>
          <w:sz w:val="24"/>
          <w:highlight w:val="none"/>
        </w:rPr>
        <w:t>拟派项目负责人须具备</w:t>
      </w:r>
      <w:r>
        <w:rPr>
          <w:rFonts w:hint="eastAsia" w:ascii="宋体" w:hAnsi="宋体" w:eastAsia="宋体"/>
          <w:sz w:val="24"/>
          <w:highlight w:val="none"/>
        </w:rPr>
        <w:t>建筑工程贰</w:t>
      </w:r>
      <w:r>
        <w:rPr>
          <w:rFonts w:ascii="宋体" w:hAnsi="宋体" w:eastAsia="宋体"/>
          <w:sz w:val="24"/>
          <w:highlight w:val="none"/>
        </w:rPr>
        <w:t xml:space="preserve">级及以上注册建造师执业资格； </w:t>
      </w:r>
    </w:p>
    <w:p>
      <w:pPr>
        <w:ind w:firstLine="480" w:firstLineChars="200"/>
        <w:rPr>
          <w:highlight w:val="none"/>
        </w:rPr>
      </w:pPr>
      <w:r>
        <w:rPr>
          <w:rFonts w:hint="eastAsia" w:ascii="宋体" w:hAnsi="宋体"/>
          <w:sz w:val="24"/>
          <w:highlight w:val="none"/>
          <w:lang w:val="en-US" w:eastAsia="zh-CN"/>
        </w:rPr>
        <w:t>2</w:t>
      </w:r>
      <w:r>
        <w:rPr>
          <w:rFonts w:hint="eastAsia" w:ascii="宋体" w:hAnsi="宋体" w:eastAsia="宋体"/>
          <w:sz w:val="24"/>
          <w:highlight w:val="none"/>
          <w:lang w:val="en-US" w:eastAsia="zh-CN"/>
        </w:rPr>
        <w:t>.4</w:t>
      </w:r>
      <w:r>
        <w:rPr>
          <w:rFonts w:ascii="宋体" w:hAnsi="宋体" w:eastAsia="宋体"/>
          <w:sz w:val="24"/>
          <w:highlight w:val="none"/>
        </w:rPr>
        <w:t>拟派项目负责人须具备有效的建设行政主管部门核发的安全生产考核合格证（B 证）。</w:t>
      </w:r>
    </w:p>
    <w:p>
      <w:pPr>
        <w:pStyle w:val="4"/>
        <w:spacing w:before="0"/>
        <w:jc w:val="left"/>
        <w:rPr>
          <w:rFonts w:ascii="宋体" w:hAnsi="宋体" w:eastAsia="宋体"/>
          <w:kern w:val="2"/>
          <w:sz w:val="24"/>
          <w:szCs w:val="24"/>
          <w:highlight w:val="none"/>
        </w:rPr>
      </w:pPr>
      <w:r>
        <w:rPr>
          <w:rFonts w:ascii="宋体" w:hAnsi="宋体" w:eastAsia="宋体"/>
          <w:kern w:val="2"/>
          <w:sz w:val="24"/>
          <w:szCs w:val="24"/>
          <w:highlight w:val="none"/>
        </w:rPr>
        <w:t>三、获取</w:t>
      </w:r>
      <w:r>
        <w:rPr>
          <w:rFonts w:hint="eastAsia" w:ascii="宋体" w:hAnsi="宋体" w:eastAsia="宋体"/>
          <w:kern w:val="2"/>
          <w:sz w:val="24"/>
          <w:szCs w:val="24"/>
          <w:highlight w:val="none"/>
        </w:rPr>
        <w:t>采购</w:t>
      </w:r>
      <w:r>
        <w:rPr>
          <w:rFonts w:ascii="宋体" w:hAnsi="宋体" w:eastAsia="宋体"/>
          <w:kern w:val="2"/>
          <w:sz w:val="24"/>
          <w:szCs w:val="24"/>
          <w:highlight w:val="none"/>
        </w:rPr>
        <w:t>文件</w:t>
      </w:r>
      <w:bookmarkEnd w:id="15"/>
      <w:bookmarkEnd w:id="16"/>
      <w:bookmarkEnd w:id="17"/>
      <w:bookmarkEnd w:id="18"/>
    </w:p>
    <w:p>
      <w:pPr>
        <w:ind w:firstLine="540"/>
        <w:rPr>
          <w:rFonts w:ascii="宋体" w:hAnsi="宋体"/>
          <w:sz w:val="24"/>
          <w:highlight w:val="none"/>
        </w:rPr>
      </w:pPr>
      <w:r>
        <w:rPr>
          <w:rFonts w:ascii="宋体" w:hAnsi="宋体"/>
          <w:sz w:val="24"/>
          <w:highlight w:val="none"/>
        </w:rPr>
        <w:t>时间：</w:t>
      </w:r>
      <w:r>
        <w:rPr>
          <w:rFonts w:hint="eastAsia" w:ascii="宋体" w:hAnsi="宋体"/>
          <w:sz w:val="24"/>
          <w:highlight w:val="none"/>
        </w:rPr>
        <w:t>自公告之日起</w:t>
      </w:r>
      <w:r>
        <w:rPr>
          <w:rFonts w:ascii="宋体" w:hAnsi="宋体"/>
          <w:sz w:val="24"/>
          <w:highlight w:val="none"/>
        </w:rPr>
        <w:t>至</w:t>
      </w:r>
      <w:r>
        <w:rPr>
          <w:rFonts w:hint="eastAsia" w:ascii="宋体" w:hAnsi="宋体"/>
          <w:sz w:val="24"/>
          <w:highlight w:val="none"/>
          <w:lang w:eastAsia="zh-CN"/>
        </w:rPr>
        <w:t>2024</w:t>
      </w:r>
      <w:r>
        <w:rPr>
          <w:rFonts w:ascii="宋体" w:hAnsi="宋体"/>
          <w:sz w:val="24"/>
          <w:highlight w:val="none"/>
        </w:rPr>
        <w:t>年</w:t>
      </w:r>
      <w:r>
        <w:rPr>
          <w:rFonts w:hint="eastAsia" w:ascii="宋体" w:hAnsi="宋体"/>
          <w:sz w:val="24"/>
          <w:highlight w:val="none"/>
          <w:lang w:val="en-US" w:eastAsia="zh-CN"/>
        </w:rPr>
        <w:t>5</w:t>
      </w:r>
      <w:r>
        <w:rPr>
          <w:rFonts w:ascii="宋体" w:hAnsi="宋体"/>
          <w:sz w:val="24"/>
          <w:highlight w:val="none"/>
        </w:rPr>
        <w:t>月</w:t>
      </w:r>
      <w:r>
        <w:rPr>
          <w:rFonts w:hint="eastAsia" w:ascii="宋体" w:hAnsi="宋体"/>
          <w:sz w:val="24"/>
          <w:highlight w:val="none"/>
          <w:lang w:val="en-US" w:eastAsia="zh-CN"/>
        </w:rPr>
        <w:t>13</w:t>
      </w:r>
      <w:r>
        <w:rPr>
          <w:rFonts w:ascii="宋体" w:hAnsi="宋体"/>
          <w:sz w:val="24"/>
          <w:highlight w:val="none"/>
        </w:rPr>
        <w:t>日，每天上午9:00至11:30，下午13:30至17:00（北京时间，法定节假日除外）</w:t>
      </w:r>
    </w:p>
    <w:p>
      <w:pPr>
        <w:ind w:firstLine="540"/>
        <w:rPr>
          <w:rFonts w:ascii="宋体" w:hAnsi="宋体"/>
          <w:sz w:val="24"/>
          <w:highlight w:val="none"/>
        </w:rPr>
      </w:pPr>
      <w:r>
        <w:rPr>
          <w:rFonts w:ascii="宋体" w:hAnsi="宋体"/>
          <w:sz w:val="24"/>
          <w:highlight w:val="none"/>
        </w:rPr>
        <w:t>地点：江苏春为全过程工程咨询有限公司（</w:t>
      </w:r>
      <w:r>
        <w:rPr>
          <w:rFonts w:hint="eastAsia" w:ascii="宋体" w:hAnsi="宋体"/>
          <w:sz w:val="24"/>
          <w:highlight w:val="none"/>
        </w:rPr>
        <w:t>常州市武进区湖滨南路招商花园城蓝图大厦4楼</w:t>
      </w:r>
      <w:r>
        <w:rPr>
          <w:rFonts w:ascii="宋体" w:hAnsi="宋体"/>
          <w:sz w:val="24"/>
          <w:highlight w:val="none"/>
        </w:rPr>
        <w:t>）</w:t>
      </w:r>
    </w:p>
    <w:p>
      <w:pPr>
        <w:ind w:firstLine="540"/>
        <w:rPr>
          <w:rFonts w:ascii="宋体" w:hAnsi="宋体"/>
          <w:sz w:val="24"/>
          <w:highlight w:val="none"/>
        </w:rPr>
      </w:pPr>
      <w:r>
        <w:rPr>
          <w:rFonts w:ascii="宋体" w:hAnsi="宋体"/>
          <w:sz w:val="24"/>
          <w:highlight w:val="none"/>
        </w:rPr>
        <w:t>方式：现场获取</w:t>
      </w:r>
    </w:p>
    <w:p>
      <w:pPr>
        <w:pStyle w:val="274"/>
        <w:ind w:firstLine="480" w:firstLineChars="200"/>
        <w:rPr>
          <w:rFonts w:ascii="宋体" w:hAnsi="宋体"/>
          <w:kern w:val="0"/>
          <w:sz w:val="24"/>
          <w:szCs w:val="24"/>
          <w:highlight w:val="none"/>
        </w:rPr>
      </w:pPr>
      <w:r>
        <w:rPr>
          <w:rFonts w:hint="eastAsia" w:ascii="宋体" w:hAnsi="宋体"/>
          <w:kern w:val="0"/>
          <w:sz w:val="24"/>
          <w:szCs w:val="24"/>
          <w:highlight w:val="none"/>
        </w:rPr>
        <w:t>获取采购文件时需提供的资料（加盖公章）：</w:t>
      </w:r>
    </w:p>
    <w:p>
      <w:pPr>
        <w:pStyle w:val="274"/>
        <w:ind w:firstLine="480" w:firstLineChars="200"/>
        <w:rPr>
          <w:rFonts w:ascii="宋体" w:hAnsi="宋体"/>
          <w:kern w:val="0"/>
          <w:sz w:val="24"/>
          <w:szCs w:val="24"/>
          <w:highlight w:val="none"/>
        </w:rPr>
      </w:pPr>
      <w:r>
        <w:rPr>
          <w:rFonts w:hint="eastAsia" w:ascii="宋体" w:hAnsi="宋体"/>
          <w:sz w:val="24"/>
          <w:szCs w:val="24"/>
          <w:highlight w:val="none"/>
        </w:rPr>
        <w:t>（1）</w:t>
      </w:r>
      <w:r>
        <w:rPr>
          <w:rFonts w:hint="eastAsia" w:ascii="宋体" w:hAnsi="宋体"/>
          <w:kern w:val="0"/>
          <w:sz w:val="24"/>
          <w:szCs w:val="24"/>
          <w:highlight w:val="none"/>
        </w:rPr>
        <w:t>文件获取登记表（见附件1）</w:t>
      </w:r>
    </w:p>
    <w:p>
      <w:pPr>
        <w:pStyle w:val="274"/>
        <w:ind w:firstLine="480" w:firstLineChars="200"/>
        <w:rPr>
          <w:rFonts w:ascii="宋体" w:hAnsi="宋体"/>
          <w:kern w:val="0"/>
          <w:sz w:val="24"/>
          <w:szCs w:val="24"/>
          <w:highlight w:val="none"/>
        </w:rPr>
      </w:pPr>
      <w:r>
        <w:rPr>
          <w:rFonts w:ascii="宋体" w:hAnsi="宋体"/>
          <w:sz w:val="24"/>
          <w:szCs w:val="24"/>
          <w:highlight w:val="none"/>
        </w:rPr>
        <w:t>（</w:t>
      </w:r>
      <w:r>
        <w:rPr>
          <w:rFonts w:hint="eastAsia" w:ascii="宋体" w:hAnsi="宋体"/>
          <w:sz w:val="24"/>
          <w:szCs w:val="24"/>
          <w:highlight w:val="none"/>
        </w:rPr>
        <w:t>2）</w:t>
      </w:r>
      <w:r>
        <w:rPr>
          <w:rFonts w:hint="eastAsia" w:ascii="宋体" w:hAnsi="宋体"/>
          <w:kern w:val="0"/>
          <w:sz w:val="24"/>
          <w:szCs w:val="24"/>
          <w:highlight w:val="none"/>
        </w:rPr>
        <w:t>法定代表人及被授权人身份证复印件</w:t>
      </w:r>
    </w:p>
    <w:p>
      <w:pPr>
        <w:ind w:firstLine="540"/>
        <w:rPr>
          <w:rFonts w:ascii="宋体" w:hAnsi="宋体"/>
          <w:sz w:val="24"/>
          <w:highlight w:val="none"/>
        </w:rPr>
      </w:pPr>
      <w:r>
        <w:rPr>
          <w:rFonts w:ascii="宋体" w:hAnsi="宋体"/>
          <w:sz w:val="24"/>
          <w:highlight w:val="none"/>
        </w:rPr>
        <w:t>售价：人民币</w:t>
      </w:r>
      <w:r>
        <w:rPr>
          <w:rFonts w:hint="eastAsia" w:ascii="宋体" w:hAnsi="宋体"/>
          <w:sz w:val="24"/>
          <w:highlight w:val="none"/>
          <w:lang w:val="en-US" w:eastAsia="zh-CN"/>
        </w:rPr>
        <w:t>伍</w:t>
      </w:r>
      <w:r>
        <w:rPr>
          <w:rFonts w:hint="eastAsia" w:ascii="宋体" w:hAnsi="宋体"/>
          <w:sz w:val="24"/>
          <w:highlight w:val="none"/>
        </w:rPr>
        <w:t>佰</w:t>
      </w:r>
      <w:r>
        <w:rPr>
          <w:rFonts w:ascii="宋体" w:hAnsi="宋体"/>
          <w:sz w:val="24"/>
          <w:highlight w:val="none"/>
        </w:rPr>
        <w:t>元整，磋商文件售后一概不退。</w:t>
      </w:r>
    </w:p>
    <w:p>
      <w:pPr>
        <w:pStyle w:val="4"/>
        <w:spacing w:before="0"/>
        <w:jc w:val="left"/>
        <w:rPr>
          <w:rFonts w:ascii="宋体" w:hAnsi="宋体" w:eastAsia="宋体"/>
          <w:sz w:val="24"/>
          <w:szCs w:val="24"/>
          <w:highlight w:val="none"/>
        </w:rPr>
      </w:pPr>
      <w:bookmarkStart w:id="19" w:name="_Toc28359092"/>
      <w:bookmarkStart w:id="20" w:name="_Toc35393801"/>
      <w:bookmarkStart w:id="21" w:name="_Toc35393632"/>
      <w:bookmarkStart w:id="22" w:name="_Toc28359015"/>
      <w:r>
        <w:rPr>
          <w:rFonts w:ascii="宋体" w:hAnsi="宋体" w:eastAsia="宋体"/>
          <w:sz w:val="24"/>
          <w:szCs w:val="24"/>
          <w:highlight w:val="none"/>
        </w:rPr>
        <w:t>四、响应文件提交</w:t>
      </w:r>
      <w:bookmarkEnd w:id="19"/>
      <w:bookmarkEnd w:id="20"/>
      <w:bookmarkEnd w:id="21"/>
      <w:bookmarkEnd w:id="22"/>
    </w:p>
    <w:p>
      <w:pPr>
        <w:ind w:firstLine="480" w:firstLineChars="200"/>
        <w:rPr>
          <w:rFonts w:ascii="宋体" w:hAnsi="宋体"/>
          <w:bCs/>
          <w:sz w:val="24"/>
          <w:highlight w:val="none"/>
          <w:u w:val="single"/>
        </w:rPr>
      </w:pPr>
      <w:r>
        <w:rPr>
          <w:rFonts w:ascii="宋体" w:hAnsi="宋体"/>
          <w:sz w:val="24"/>
          <w:highlight w:val="none"/>
        </w:rPr>
        <w:t>截止时间：</w:t>
      </w:r>
      <w:r>
        <w:rPr>
          <w:rFonts w:hint="eastAsia" w:ascii="宋体" w:hAnsi="宋体"/>
          <w:bCs/>
          <w:sz w:val="24"/>
          <w:highlight w:val="none"/>
          <w:lang w:eastAsia="zh-CN"/>
        </w:rPr>
        <w:t>2024</w:t>
      </w:r>
      <w:r>
        <w:rPr>
          <w:rFonts w:ascii="宋体" w:hAnsi="宋体"/>
          <w:bCs/>
          <w:sz w:val="24"/>
          <w:highlight w:val="none"/>
        </w:rPr>
        <w:t>年</w:t>
      </w:r>
      <w:r>
        <w:rPr>
          <w:rFonts w:hint="eastAsia" w:ascii="宋体" w:hAnsi="宋体"/>
          <w:bCs/>
          <w:sz w:val="24"/>
          <w:highlight w:val="none"/>
          <w:lang w:val="en-US" w:eastAsia="zh-CN"/>
        </w:rPr>
        <w:t>5</w:t>
      </w:r>
      <w:r>
        <w:rPr>
          <w:rFonts w:ascii="宋体" w:hAnsi="宋体"/>
          <w:bCs/>
          <w:sz w:val="24"/>
          <w:highlight w:val="none"/>
        </w:rPr>
        <w:t>月</w:t>
      </w:r>
      <w:r>
        <w:rPr>
          <w:rFonts w:hint="eastAsia" w:ascii="宋体" w:hAnsi="宋体"/>
          <w:bCs/>
          <w:sz w:val="24"/>
          <w:highlight w:val="none"/>
          <w:lang w:val="en-US" w:eastAsia="zh-CN"/>
        </w:rPr>
        <w:t>20</w:t>
      </w:r>
      <w:r>
        <w:rPr>
          <w:rFonts w:ascii="宋体" w:hAnsi="宋体"/>
          <w:bCs/>
          <w:sz w:val="24"/>
          <w:highlight w:val="none"/>
        </w:rPr>
        <w:t>日</w:t>
      </w:r>
      <w:r>
        <w:rPr>
          <w:rFonts w:hint="eastAsia" w:ascii="宋体" w:hAnsi="宋体"/>
          <w:bCs/>
          <w:sz w:val="24"/>
          <w:highlight w:val="none"/>
          <w:lang w:val="en-US" w:eastAsia="zh-CN"/>
        </w:rPr>
        <w:t>14</w:t>
      </w:r>
      <w:r>
        <w:rPr>
          <w:rFonts w:ascii="宋体" w:hAnsi="宋体"/>
          <w:bCs/>
          <w:sz w:val="24"/>
          <w:highlight w:val="none"/>
        </w:rPr>
        <w:t>点</w:t>
      </w:r>
      <w:r>
        <w:rPr>
          <w:rFonts w:hint="eastAsia" w:ascii="宋体" w:hAnsi="宋体"/>
          <w:bCs/>
          <w:sz w:val="24"/>
          <w:highlight w:val="none"/>
          <w:lang w:val="en-US" w:eastAsia="zh-CN"/>
        </w:rPr>
        <w:t>00</w:t>
      </w:r>
      <w:r>
        <w:rPr>
          <w:rFonts w:ascii="宋体" w:hAnsi="宋体"/>
          <w:bCs/>
          <w:sz w:val="24"/>
          <w:highlight w:val="none"/>
        </w:rPr>
        <w:t>分（北京时间）</w:t>
      </w:r>
    </w:p>
    <w:p>
      <w:pPr>
        <w:ind w:firstLine="480" w:firstLineChars="200"/>
        <w:rPr>
          <w:rFonts w:ascii="宋体" w:hAnsi="宋体"/>
          <w:bCs/>
          <w:sz w:val="24"/>
          <w:highlight w:val="none"/>
        </w:rPr>
      </w:pPr>
      <w:r>
        <w:rPr>
          <w:rFonts w:ascii="宋体" w:hAnsi="宋体"/>
          <w:bCs/>
          <w:sz w:val="24"/>
          <w:highlight w:val="none"/>
        </w:rPr>
        <w:t>地点：</w:t>
      </w:r>
      <w:r>
        <w:rPr>
          <w:rFonts w:hint="eastAsia" w:ascii="宋体" w:hAnsi="宋体"/>
          <w:sz w:val="24"/>
          <w:highlight w:val="none"/>
        </w:rPr>
        <w:t>常州市武进区湖滨南路招商花园城蓝图大厦4楼</w:t>
      </w:r>
    </w:p>
    <w:p>
      <w:pPr>
        <w:pStyle w:val="4"/>
        <w:spacing w:before="0"/>
        <w:jc w:val="left"/>
        <w:rPr>
          <w:rFonts w:ascii="宋体" w:hAnsi="宋体" w:eastAsia="宋体"/>
          <w:sz w:val="24"/>
          <w:szCs w:val="24"/>
          <w:highlight w:val="none"/>
        </w:rPr>
      </w:pPr>
      <w:bookmarkStart w:id="23" w:name="_Toc35393633"/>
      <w:bookmarkStart w:id="24" w:name="_Toc28359093"/>
      <w:bookmarkStart w:id="25" w:name="_Toc28359016"/>
      <w:bookmarkStart w:id="26" w:name="_Toc35393802"/>
      <w:r>
        <w:rPr>
          <w:rFonts w:ascii="宋体" w:hAnsi="宋体" w:eastAsia="宋体"/>
          <w:sz w:val="24"/>
          <w:szCs w:val="24"/>
          <w:highlight w:val="none"/>
        </w:rPr>
        <w:t>五、开启</w:t>
      </w:r>
      <w:bookmarkEnd w:id="23"/>
      <w:bookmarkEnd w:id="24"/>
      <w:bookmarkEnd w:id="25"/>
      <w:bookmarkEnd w:id="26"/>
    </w:p>
    <w:p>
      <w:pPr>
        <w:ind w:firstLine="480" w:firstLineChars="200"/>
        <w:rPr>
          <w:rFonts w:ascii="宋体" w:hAnsi="宋体"/>
          <w:bCs/>
          <w:sz w:val="24"/>
          <w:highlight w:val="none"/>
          <w:u w:val="single"/>
        </w:rPr>
      </w:pPr>
      <w:r>
        <w:rPr>
          <w:rFonts w:ascii="宋体" w:hAnsi="宋体"/>
          <w:sz w:val="24"/>
          <w:highlight w:val="none"/>
        </w:rPr>
        <w:t>时间：</w:t>
      </w:r>
      <w:r>
        <w:rPr>
          <w:rFonts w:hint="eastAsia" w:ascii="宋体" w:hAnsi="宋体"/>
          <w:bCs/>
          <w:sz w:val="24"/>
          <w:highlight w:val="none"/>
          <w:lang w:eastAsia="zh-CN"/>
        </w:rPr>
        <w:t>2024</w:t>
      </w:r>
      <w:r>
        <w:rPr>
          <w:rFonts w:ascii="宋体" w:hAnsi="宋体"/>
          <w:bCs/>
          <w:sz w:val="24"/>
          <w:highlight w:val="none"/>
        </w:rPr>
        <w:t>年</w:t>
      </w:r>
      <w:r>
        <w:rPr>
          <w:rFonts w:hint="eastAsia" w:ascii="宋体" w:hAnsi="宋体"/>
          <w:bCs/>
          <w:sz w:val="24"/>
          <w:highlight w:val="none"/>
          <w:lang w:val="en-US" w:eastAsia="zh-CN"/>
        </w:rPr>
        <w:t>5</w:t>
      </w:r>
      <w:r>
        <w:rPr>
          <w:rFonts w:ascii="宋体" w:hAnsi="宋体"/>
          <w:bCs/>
          <w:sz w:val="24"/>
          <w:highlight w:val="none"/>
        </w:rPr>
        <w:t>月</w:t>
      </w:r>
      <w:r>
        <w:rPr>
          <w:rFonts w:hint="eastAsia" w:ascii="宋体" w:hAnsi="宋体"/>
          <w:bCs/>
          <w:sz w:val="24"/>
          <w:highlight w:val="none"/>
          <w:lang w:val="en-US" w:eastAsia="zh-CN"/>
        </w:rPr>
        <w:t>20</w:t>
      </w:r>
      <w:r>
        <w:rPr>
          <w:rFonts w:ascii="宋体" w:hAnsi="宋体"/>
          <w:bCs/>
          <w:sz w:val="24"/>
          <w:highlight w:val="none"/>
        </w:rPr>
        <w:t>日</w:t>
      </w:r>
      <w:r>
        <w:rPr>
          <w:rFonts w:hint="eastAsia" w:ascii="宋体" w:hAnsi="宋体"/>
          <w:bCs/>
          <w:sz w:val="24"/>
          <w:highlight w:val="none"/>
          <w:lang w:val="en-US" w:eastAsia="zh-CN"/>
        </w:rPr>
        <w:t>14</w:t>
      </w:r>
      <w:r>
        <w:rPr>
          <w:rFonts w:ascii="宋体" w:hAnsi="宋体"/>
          <w:bCs/>
          <w:sz w:val="24"/>
          <w:highlight w:val="none"/>
        </w:rPr>
        <w:t>点</w:t>
      </w:r>
      <w:r>
        <w:rPr>
          <w:rFonts w:hint="eastAsia" w:ascii="宋体" w:hAnsi="宋体"/>
          <w:bCs/>
          <w:sz w:val="24"/>
          <w:highlight w:val="none"/>
          <w:lang w:val="en-US" w:eastAsia="zh-CN"/>
        </w:rPr>
        <w:t>00</w:t>
      </w:r>
      <w:r>
        <w:rPr>
          <w:rFonts w:ascii="宋体" w:hAnsi="宋体"/>
          <w:bCs/>
          <w:sz w:val="24"/>
          <w:highlight w:val="none"/>
        </w:rPr>
        <w:t>分（北京时间）</w:t>
      </w:r>
    </w:p>
    <w:p>
      <w:pPr>
        <w:ind w:firstLine="480" w:firstLineChars="200"/>
        <w:rPr>
          <w:rFonts w:ascii="宋体" w:hAnsi="宋体"/>
          <w:sz w:val="24"/>
          <w:highlight w:val="none"/>
        </w:rPr>
      </w:pPr>
      <w:r>
        <w:rPr>
          <w:rFonts w:ascii="宋体" w:hAnsi="宋体"/>
          <w:bCs/>
          <w:sz w:val="24"/>
          <w:highlight w:val="none"/>
        </w:rPr>
        <w:t>地点：</w:t>
      </w:r>
      <w:bookmarkStart w:id="27" w:name="_Toc35393803"/>
      <w:bookmarkStart w:id="28" w:name="_Toc35393634"/>
      <w:bookmarkStart w:id="29" w:name="_Toc28359017"/>
      <w:bookmarkStart w:id="30" w:name="_Toc28359094"/>
      <w:r>
        <w:rPr>
          <w:rFonts w:hint="eastAsia" w:ascii="宋体" w:hAnsi="宋体"/>
          <w:sz w:val="24"/>
          <w:highlight w:val="none"/>
        </w:rPr>
        <w:t>常州市武进区湖滨南路招商花园城蓝图大厦4楼</w:t>
      </w:r>
    </w:p>
    <w:p>
      <w:pPr>
        <w:pStyle w:val="4"/>
        <w:spacing w:before="0"/>
        <w:jc w:val="left"/>
        <w:rPr>
          <w:rFonts w:ascii="宋体" w:hAnsi="宋体" w:eastAsia="宋体"/>
          <w:sz w:val="24"/>
          <w:szCs w:val="24"/>
          <w:highlight w:val="none"/>
        </w:rPr>
      </w:pPr>
      <w:r>
        <w:rPr>
          <w:rFonts w:ascii="宋体" w:hAnsi="宋体" w:eastAsia="宋体"/>
          <w:sz w:val="24"/>
          <w:szCs w:val="24"/>
          <w:highlight w:val="none"/>
        </w:rPr>
        <w:t>六、公告期限</w:t>
      </w:r>
      <w:bookmarkEnd w:id="27"/>
      <w:bookmarkEnd w:id="28"/>
      <w:bookmarkEnd w:id="29"/>
      <w:bookmarkEnd w:id="30"/>
    </w:p>
    <w:p>
      <w:pPr>
        <w:ind w:firstLine="480" w:firstLineChars="200"/>
        <w:rPr>
          <w:rFonts w:ascii="宋体" w:hAnsi="宋体"/>
          <w:kern w:val="0"/>
          <w:sz w:val="24"/>
          <w:highlight w:val="none"/>
        </w:rPr>
      </w:pPr>
      <w:r>
        <w:rPr>
          <w:rFonts w:ascii="宋体" w:hAnsi="宋体"/>
          <w:kern w:val="0"/>
          <w:sz w:val="24"/>
          <w:highlight w:val="none"/>
        </w:rPr>
        <w:t>自本公告发布之日起3个工作日。</w:t>
      </w:r>
    </w:p>
    <w:p>
      <w:pPr>
        <w:pStyle w:val="4"/>
        <w:spacing w:before="0"/>
        <w:jc w:val="left"/>
        <w:rPr>
          <w:rFonts w:ascii="宋体" w:hAnsi="宋体" w:eastAsia="宋体"/>
          <w:sz w:val="24"/>
          <w:szCs w:val="24"/>
          <w:highlight w:val="none"/>
        </w:rPr>
      </w:pPr>
      <w:bookmarkStart w:id="31" w:name="_Toc35393635"/>
      <w:bookmarkStart w:id="32" w:name="_Toc35393804"/>
      <w:r>
        <w:rPr>
          <w:rFonts w:ascii="宋体" w:hAnsi="宋体" w:eastAsia="宋体"/>
          <w:sz w:val="24"/>
          <w:szCs w:val="24"/>
          <w:highlight w:val="none"/>
        </w:rPr>
        <w:t>七、其他补充事宜</w:t>
      </w:r>
      <w:bookmarkEnd w:id="31"/>
      <w:bookmarkEnd w:id="32"/>
    </w:p>
    <w:p>
      <w:pPr>
        <w:ind w:left="664" w:leftChars="200" w:hanging="244" w:hangingChars="100"/>
        <w:rPr>
          <w:rFonts w:ascii="宋体" w:hAnsi="宋体" w:cs="宋体"/>
          <w:spacing w:val="2"/>
          <w:sz w:val="24"/>
          <w:highlight w:val="none"/>
        </w:rPr>
      </w:pPr>
      <w:r>
        <w:rPr>
          <w:rFonts w:hint="eastAsia" w:ascii="宋体" w:hAnsi="宋体" w:cs="宋体"/>
          <w:spacing w:val="2"/>
          <w:sz w:val="24"/>
          <w:highlight w:val="none"/>
        </w:rPr>
        <w:t>本项目免收磋商保证金。</w:t>
      </w:r>
    </w:p>
    <w:p>
      <w:pPr>
        <w:rPr>
          <w:rFonts w:ascii="宋体" w:hAnsi="宋体"/>
          <w:sz w:val="24"/>
          <w:highlight w:val="none"/>
        </w:rPr>
      </w:pPr>
      <w:bookmarkStart w:id="33" w:name="_Toc28359095"/>
      <w:bookmarkStart w:id="34" w:name="_Toc28359018"/>
      <w:bookmarkStart w:id="35" w:name="_Toc35393805"/>
      <w:bookmarkStart w:id="36" w:name="_Toc35393636"/>
      <w:r>
        <w:rPr>
          <w:rFonts w:ascii="宋体" w:hAnsi="宋体"/>
          <w:b/>
          <w:kern w:val="0"/>
          <w:sz w:val="24"/>
          <w:highlight w:val="none"/>
        </w:rPr>
        <w:t>八、凡对本次采购提出询问，请按以下方式联系</w:t>
      </w:r>
      <w:bookmarkEnd w:id="33"/>
      <w:bookmarkEnd w:id="34"/>
      <w:bookmarkEnd w:id="35"/>
      <w:bookmarkEnd w:id="36"/>
    </w:p>
    <w:p>
      <w:pPr>
        <w:pStyle w:val="4"/>
        <w:spacing w:before="0"/>
        <w:ind w:left="630" w:leftChars="300"/>
        <w:jc w:val="left"/>
        <w:rPr>
          <w:rFonts w:ascii="宋体" w:hAnsi="宋体" w:eastAsia="宋体"/>
          <w:sz w:val="24"/>
          <w:szCs w:val="24"/>
          <w:highlight w:val="none"/>
        </w:rPr>
      </w:pPr>
      <w:bookmarkStart w:id="37" w:name="_Toc28359019"/>
      <w:bookmarkStart w:id="38" w:name="_Toc28359096"/>
      <w:bookmarkStart w:id="39" w:name="_Toc35393637"/>
      <w:bookmarkStart w:id="40" w:name="_Toc35393806"/>
      <w:r>
        <w:rPr>
          <w:rFonts w:ascii="宋体" w:hAnsi="宋体" w:eastAsia="宋体"/>
          <w:sz w:val="24"/>
          <w:szCs w:val="24"/>
          <w:highlight w:val="none"/>
        </w:rPr>
        <w:t>1.</w:t>
      </w:r>
      <w:r>
        <w:rPr>
          <w:rFonts w:hint="eastAsia" w:ascii="宋体" w:hAnsi="宋体" w:eastAsia="宋体"/>
          <w:sz w:val="24"/>
          <w:szCs w:val="24"/>
          <w:highlight w:val="none"/>
          <w:lang w:eastAsia="zh-CN"/>
        </w:rPr>
        <w:t>采购人</w:t>
      </w:r>
      <w:r>
        <w:rPr>
          <w:rFonts w:ascii="宋体" w:hAnsi="宋体" w:eastAsia="宋体"/>
          <w:sz w:val="24"/>
          <w:szCs w:val="24"/>
          <w:highlight w:val="none"/>
        </w:rPr>
        <w:t>信息</w:t>
      </w:r>
      <w:bookmarkEnd w:id="37"/>
      <w:bookmarkEnd w:id="38"/>
      <w:bookmarkEnd w:id="39"/>
      <w:bookmarkEnd w:id="40"/>
    </w:p>
    <w:p>
      <w:pPr>
        <w:ind w:firstLine="720" w:firstLineChars="300"/>
        <w:jc w:val="left"/>
        <w:rPr>
          <w:rFonts w:hint="eastAsia" w:ascii="宋体" w:hAnsi="宋体" w:eastAsia="宋体"/>
          <w:sz w:val="24"/>
          <w:highlight w:val="none"/>
          <w:lang w:eastAsia="zh-CN"/>
        </w:rPr>
      </w:pPr>
      <w:r>
        <w:rPr>
          <w:rFonts w:hint="eastAsia" w:ascii="宋体" w:hAnsi="宋体" w:eastAsia="宋体"/>
          <w:sz w:val="24"/>
          <w:highlight w:val="none"/>
          <w:lang w:eastAsia="zh-CN"/>
        </w:rPr>
        <w:t>名    称：</w:t>
      </w:r>
      <w:r>
        <w:rPr>
          <w:rFonts w:hint="eastAsia" w:ascii="宋体" w:hAnsi="宋体"/>
          <w:sz w:val="24"/>
          <w:highlight w:val="none"/>
          <w:lang w:eastAsia="zh-CN"/>
        </w:rPr>
        <w:t>常州市西太湖旅游发展有限公司</w:t>
      </w:r>
    </w:p>
    <w:p>
      <w:pPr>
        <w:spacing w:line="400" w:lineRule="exact"/>
        <w:ind w:firstLine="720" w:firstLineChars="300"/>
        <w:jc w:val="left"/>
        <w:rPr>
          <w:rFonts w:hint="eastAsia" w:ascii="宋体" w:hAnsi="宋体" w:eastAsia="宋体" w:cs="宋体"/>
          <w:sz w:val="24"/>
          <w:szCs w:val="24"/>
          <w:highlight w:val="none"/>
          <w:u w:val="single"/>
          <w:lang w:eastAsia="zh-CN"/>
        </w:rPr>
      </w:pPr>
      <w:bookmarkStart w:id="41" w:name="_Toc35393807"/>
      <w:bookmarkStart w:id="42" w:name="_Toc28359020"/>
      <w:bookmarkStart w:id="43" w:name="_Toc35393638"/>
      <w:bookmarkStart w:id="44" w:name="_Toc28359097"/>
      <w:r>
        <w:rPr>
          <w:rFonts w:hint="eastAsia" w:ascii="宋体" w:hAnsi="宋体" w:eastAsia="宋体" w:cs="宋体"/>
          <w:sz w:val="24"/>
          <w:szCs w:val="24"/>
          <w:highlight w:val="none"/>
        </w:rPr>
        <w:t>地    址：</w:t>
      </w:r>
      <w:r>
        <w:rPr>
          <w:rFonts w:hint="eastAsia" w:ascii="宋体" w:hAnsi="宋体" w:eastAsia="宋体" w:cs="宋体"/>
          <w:bCs/>
          <w:sz w:val="24"/>
          <w:szCs w:val="24"/>
          <w:highlight w:val="none"/>
          <w:lang w:val="en-US" w:eastAsia="zh-CN"/>
        </w:rPr>
        <w:t>江苏武进经济开发区揽月路 777 号</w:t>
      </w:r>
    </w:p>
    <w:p>
      <w:pPr>
        <w:spacing w:line="400" w:lineRule="exact"/>
        <w:ind w:firstLine="720" w:firstLineChars="3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何先生</w:t>
      </w:r>
    </w:p>
    <w:p>
      <w:pPr>
        <w:spacing w:line="400" w:lineRule="exact"/>
        <w:ind w:firstLine="720" w:firstLineChars="3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15961224677</w:t>
      </w:r>
    </w:p>
    <w:p>
      <w:pPr>
        <w:pStyle w:val="4"/>
        <w:spacing w:before="0"/>
        <w:ind w:left="630" w:leftChars="300"/>
        <w:jc w:val="left"/>
        <w:rPr>
          <w:rFonts w:ascii="宋体" w:hAnsi="宋体" w:eastAsia="宋体"/>
          <w:sz w:val="24"/>
          <w:szCs w:val="24"/>
          <w:highlight w:val="none"/>
        </w:rPr>
      </w:pPr>
      <w:r>
        <w:rPr>
          <w:rFonts w:ascii="宋体" w:hAnsi="宋体" w:eastAsia="宋体"/>
          <w:sz w:val="24"/>
          <w:szCs w:val="24"/>
          <w:highlight w:val="none"/>
        </w:rPr>
        <w:t>2.采购代理机构信息</w:t>
      </w:r>
      <w:bookmarkEnd w:id="41"/>
      <w:bookmarkEnd w:id="42"/>
      <w:bookmarkEnd w:id="43"/>
      <w:bookmarkEnd w:id="44"/>
    </w:p>
    <w:p>
      <w:pPr>
        <w:ind w:firstLine="720" w:firstLineChars="300"/>
        <w:jc w:val="left"/>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名称：江苏春为全过程工程咨询有限公司</w:t>
      </w:r>
    </w:p>
    <w:p>
      <w:pPr>
        <w:ind w:firstLine="720" w:firstLineChars="300"/>
        <w:jc w:val="left"/>
        <w:rPr>
          <w:rFonts w:hint="eastAsia" w:ascii="宋体" w:hAnsi="宋体" w:eastAsia="宋体" w:cs="Times New Roman"/>
          <w:sz w:val="24"/>
          <w:highlight w:val="none"/>
          <w:lang w:eastAsia="zh-CN"/>
        </w:rPr>
      </w:pPr>
      <w:r>
        <w:rPr>
          <w:rFonts w:hint="eastAsia" w:ascii="宋体" w:hAnsi="宋体" w:eastAsia="宋体" w:cs="Times New Roman"/>
          <w:sz w:val="24"/>
          <w:highlight w:val="none"/>
          <w:lang w:val="zh-CN" w:eastAsia="zh-CN"/>
        </w:rPr>
        <w:t>地　　址：</w:t>
      </w:r>
      <w:r>
        <w:rPr>
          <w:rFonts w:hint="eastAsia" w:ascii="宋体" w:hAnsi="宋体" w:eastAsia="宋体" w:cs="Times New Roman"/>
          <w:sz w:val="24"/>
          <w:highlight w:val="none"/>
          <w:lang w:eastAsia="zh-CN"/>
        </w:rPr>
        <w:t>常州市武进区湖滨南路招商花园城蓝图大厦4楼</w:t>
      </w:r>
    </w:p>
    <w:p>
      <w:pPr>
        <w:ind w:firstLine="720" w:firstLineChars="300"/>
        <w:jc w:val="left"/>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联系方式：0519-68852676</w:t>
      </w:r>
    </w:p>
    <w:p>
      <w:pPr>
        <w:pStyle w:val="4"/>
        <w:spacing w:before="0"/>
        <w:ind w:left="630" w:leftChars="300"/>
        <w:jc w:val="left"/>
        <w:rPr>
          <w:rFonts w:ascii="宋体" w:hAnsi="宋体" w:eastAsia="宋体"/>
          <w:sz w:val="24"/>
          <w:szCs w:val="24"/>
          <w:highlight w:val="none"/>
        </w:rPr>
      </w:pPr>
      <w:bookmarkStart w:id="45" w:name="_Toc28359021"/>
      <w:bookmarkStart w:id="46" w:name="_Toc28359098"/>
      <w:bookmarkStart w:id="47" w:name="_Toc35393808"/>
      <w:bookmarkStart w:id="48" w:name="_Toc35393639"/>
      <w:r>
        <w:rPr>
          <w:rFonts w:ascii="宋体" w:hAnsi="宋体" w:eastAsia="宋体"/>
          <w:sz w:val="24"/>
          <w:szCs w:val="24"/>
          <w:highlight w:val="none"/>
        </w:rPr>
        <w:t>3.项目联系方式</w:t>
      </w:r>
      <w:bookmarkEnd w:id="45"/>
      <w:bookmarkEnd w:id="46"/>
      <w:bookmarkEnd w:id="47"/>
      <w:bookmarkEnd w:id="48"/>
    </w:p>
    <w:p>
      <w:pPr>
        <w:pStyle w:val="27"/>
        <w:ind w:firstLine="720" w:firstLineChars="300"/>
        <w:rPr>
          <w:rFonts w:hint="default" w:hAnsi="宋体"/>
          <w:sz w:val="24"/>
          <w:szCs w:val="24"/>
          <w:highlight w:val="none"/>
        </w:rPr>
      </w:pPr>
      <w:r>
        <w:rPr>
          <w:rFonts w:hAnsi="宋体"/>
          <w:sz w:val="24"/>
          <w:szCs w:val="24"/>
          <w:highlight w:val="none"/>
        </w:rPr>
        <w:t>项目联系人：</w:t>
      </w:r>
      <w:r>
        <w:rPr>
          <w:rFonts w:hint="eastAsia" w:hAnsi="宋体"/>
          <w:sz w:val="24"/>
          <w:szCs w:val="24"/>
          <w:highlight w:val="none"/>
          <w:lang w:val="en-US" w:eastAsia="zh-CN"/>
        </w:rPr>
        <w:t>赵</w:t>
      </w:r>
      <w:r>
        <w:rPr>
          <w:rFonts w:hAnsi="宋体"/>
          <w:sz w:val="24"/>
          <w:szCs w:val="24"/>
          <w:highlight w:val="none"/>
        </w:rPr>
        <w:t>女士</w:t>
      </w:r>
    </w:p>
    <w:p>
      <w:pPr>
        <w:ind w:firstLine="720" w:firstLineChars="300"/>
        <w:rPr>
          <w:rFonts w:ascii="宋体" w:hAnsi="宋体"/>
          <w:spacing w:val="2"/>
          <w:sz w:val="24"/>
          <w:highlight w:val="none"/>
        </w:rPr>
      </w:pPr>
      <w:r>
        <w:rPr>
          <w:rFonts w:ascii="宋体" w:hAnsi="宋体"/>
          <w:sz w:val="24"/>
          <w:highlight w:val="none"/>
        </w:rPr>
        <w:t>电　　话：</w:t>
      </w:r>
      <w:r>
        <w:rPr>
          <w:rFonts w:ascii="宋体" w:hAnsi="宋体"/>
          <w:spacing w:val="2"/>
          <w:sz w:val="24"/>
          <w:highlight w:val="none"/>
        </w:rPr>
        <w:t>0519-68852676</w:t>
      </w:r>
    </w:p>
    <w:p>
      <w:pPr>
        <w:rPr>
          <w:rFonts w:ascii="宋体" w:hAnsi="宋体"/>
          <w:b/>
          <w:color w:val="000000"/>
          <w:szCs w:val="21"/>
          <w:highlight w:val="none"/>
        </w:rPr>
      </w:pPr>
      <w:r>
        <w:rPr>
          <w:rFonts w:ascii="宋体" w:hAnsi="宋体"/>
          <w:spacing w:val="2"/>
          <w:sz w:val="24"/>
          <w:highlight w:val="none"/>
        </w:rPr>
        <w:br w:type="page"/>
      </w:r>
      <w:r>
        <w:rPr>
          <w:rFonts w:hint="eastAsia" w:ascii="宋体" w:hAnsi="宋体"/>
          <w:szCs w:val="21"/>
          <w:highlight w:val="none"/>
        </w:rPr>
        <w:t>附件1：</w:t>
      </w:r>
    </w:p>
    <w:p>
      <w:pPr>
        <w:widowControl/>
        <w:shd w:val="clear" w:color="auto" w:fill="FFFFFF"/>
        <w:spacing w:line="378" w:lineRule="atLeast"/>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文件获取登记表</w:t>
      </w:r>
    </w:p>
    <w:p>
      <w:pPr>
        <w:widowControl/>
        <w:shd w:val="clear" w:color="auto" w:fill="FFFFFF"/>
        <w:spacing w:line="500" w:lineRule="atLeast"/>
        <w:jc w:val="left"/>
        <w:rPr>
          <w:rFonts w:ascii="宋体" w:hAnsi="宋体" w:cs="宋体"/>
          <w:color w:val="000000"/>
          <w:kern w:val="0"/>
          <w:szCs w:val="21"/>
          <w:highlight w:val="none"/>
          <w:u w:val="single"/>
        </w:rPr>
      </w:pPr>
      <w:r>
        <w:rPr>
          <w:rFonts w:ascii="宋体" w:hAnsi="宋体" w:cs="宋体"/>
          <w:color w:val="000000"/>
          <w:kern w:val="0"/>
          <w:szCs w:val="21"/>
          <w:highlight w:val="none"/>
        </w:rPr>
        <w:t>项目名称：</w:t>
      </w:r>
    </w:p>
    <w:p>
      <w:pPr>
        <w:widowControl/>
        <w:shd w:val="clear" w:color="auto" w:fill="FFFFFF"/>
        <w:spacing w:line="640" w:lineRule="atLeast"/>
        <w:jc w:val="left"/>
        <w:rPr>
          <w:rFonts w:ascii="宋体" w:hAnsi="宋体"/>
          <w:szCs w:val="21"/>
          <w:highlight w:val="none"/>
          <w:u w:val="single"/>
        </w:rPr>
      </w:pPr>
      <w:r>
        <w:rPr>
          <w:rFonts w:ascii="宋体" w:hAnsi="宋体" w:cs="宋体"/>
          <w:color w:val="000000"/>
          <w:kern w:val="0"/>
          <w:szCs w:val="21"/>
          <w:highlight w:val="none"/>
        </w:rPr>
        <w:t>项目编号：</w:t>
      </w:r>
      <w:r>
        <w:rPr>
          <w:rFonts w:hint="eastAsia" w:ascii="宋体" w:hAnsi="宋体"/>
          <w:szCs w:val="21"/>
          <w:highlight w:val="none"/>
          <w:u w:val="single"/>
        </w:rPr>
        <w:t>（标段号：）</w:t>
      </w:r>
    </w:p>
    <w:p>
      <w:pPr>
        <w:widowControl/>
        <w:shd w:val="clear" w:color="auto" w:fill="FFFFFF"/>
        <w:spacing w:line="640" w:lineRule="atLeast"/>
        <w:jc w:val="left"/>
        <w:rPr>
          <w:rFonts w:ascii="宋体" w:hAnsi="宋体" w:cs="宋体"/>
          <w:color w:val="000000"/>
          <w:kern w:val="0"/>
          <w:szCs w:val="21"/>
          <w:highlight w:val="none"/>
        </w:rPr>
      </w:pPr>
    </w:p>
    <w:tbl>
      <w:tblPr>
        <w:tblStyle w:val="51"/>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pPr>
              <w:widowControl/>
              <w:spacing w:line="500" w:lineRule="atLeast"/>
              <w:jc w:val="left"/>
              <w:rPr>
                <w:rFonts w:ascii="宋体" w:hAnsi="宋体" w:cs="宋体"/>
                <w:kern w:val="0"/>
                <w:szCs w:val="21"/>
                <w:highlight w:val="none"/>
              </w:rPr>
            </w:pPr>
            <w:r>
              <w:rPr>
                <w:rFonts w:ascii="宋体" w:hAnsi="宋体" w:cs="宋体"/>
                <w:kern w:val="0"/>
                <w:szCs w:val="21"/>
                <w:highlight w:val="none"/>
              </w:rPr>
              <w:t>供应商全称（公章）：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pStyle w:val="46"/>
              <w:spacing w:line="360" w:lineRule="auto"/>
              <w:ind w:firstLine="419"/>
              <w:rPr>
                <w:sz w:val="21"/>
                <w:szCs w:val="21"/>
                <w:highlight w:val="none"/>
              </w:rPr>
            </w:pPr>
            <w:r>
              <w:rPr>
                <w:rFonts w:hint="eastAsia"/>
                <w:sz w:val="21"/>
                <w:szCs w:val="21"/>
                <w:highlight w:val="none"/>
              </w:rPr>
              <w:t>现委托（被授权人的姓名）参与江苏春为全过程工程咨询有限公司此项目的文件获取工作。项目招投标过程中答疑补充等相关文件都须</w:t>
            </w:r>
            <w:r>
              <w:rPr>
                <w:rFonts w:hint="eastAsia"/>
                <w:sz w:val="21"/>
                <w:szCs w:val="21"/>
                <w:highlight w:val="none"/>
                <w:lang w:eastAsia="zh-CN"/>
              </w:rPr>
              <w:t>供应商</w:t>
            </w:r>
            <w:r>
              <w:rPr>
                <w:rFonts w:hint="eastAsia"/>
                <w:sz w:val="21"/>
                <w:szCs w:val="21"/>
                <w:highlight w:val="none"/>
              </w:rPr>
              <w:t>在相关网站上下载，本单位会及时关注相关网站，以防遗漏，并承诺不以此为理由提出质疑。</w:t>
            </w:r>
          </w:p>
          <w:p>
            <w:pPr>
              <w:pStyle w:val="46"/>
              <w:ind w:firstLine="419"/>
              <w:jc w:val="center"/>
              <w:rPr>
                <w:sz w:val="21"/>
                <w:szCs w:val="21"/>
                <w:highlight w:val="none"/>
              </w:rPr>
            </w:pPr>
            <w:r>
              <w:rPr>
                <w:rFonts w:hint="eastAsia"/>
                <w:sz w:val="21"/>
                <w:szCs w:val="21"/>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widowControl/>
              <w:spacing w:line="500" w:lineRule="atLeast"/>
              <w:jc w:val="left"/>
              <w:rPr>
                <w:rFonts w:ascii="宋体" w:hAnsi="宋体" w:cs="宋体"/>
                <w:kern w:val="0"/>
                <w:szCs w:val="21"/>
                <w:highlight w:val="none"/>
              </w:rPr>
            </w:pPr>
            <w:r>
              <w:rPr>
                <w:rFonts w:hint="eastAsia" w:ascii="宋体" w:hAnsi="宋体" w:cs="宋体"/>
                <w:kern w:val="0"/>
                <w:szCs w:val="21"/>
                <w:highlight w:val="none"/>
              </w:rPr>
              <w:t>被授权人</w:t>
            </w:r>
            <w:r>
              <w:rPr>
                <w:rFonts w:ascii="宋体" w:hAnsi="宋体" w:cs="宋体"/>
                <w:kern w:val="0"/>
                <w:szCs w:val="21"/>
                <w:highlight w:val="none"/>
              </w:rPr>
              <w:t>姓名：联系电话：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widowControl/>
              <w:spacing w:line="500" w:lineRule="atLeast"/>
              <w:jc w:val="left"/>
              <w:rPr>
                <w:rFonts w:ascii="宋体" w:hAnsi="宋体" w:cs="宋体"/>
                <w:kern w:val="0"/>
                <w:szCs w:val="21"/>
                <w:highlight w:val="none"/>
              </w:rPr>
            </w:pPr>
            <w:r>
              <w:rPr>
                <w:rFonts w:ascii="宋体" w:hAnsi="宋体" w:cs="宋体"/>
                <w:kern w:val="0"/>
                <w:szCs w:val="21"/>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vAlign w:val="center"/>
          </w:tcPr>
          <w:p>
            <w:pPr>
              <w:widowControl/>
              <w:spacing w:line="500" w:lineRule="atLeast"/>
              <w:jc w:val="left"/>
              <w:rPr>
                <w:rFonts w:ascii="宋体" w:hAnsi="宋体" w:cs="宋体"/>
                <w:kern w:val="0"/>
                <w:szCs w:val="21"/>
                <w:highlight w:val="none"/>
              </w:rPr>
            </w:pPr>
            <w:r>
              <w:rPr>
                <w:rFonts w:ascii="宋体" w:hAnsi="宋体" w:cs="宋体"/>
                <w:kern w:val="0"/>
                <w:szCs w:val="21"/>
                <w:highlight w:val="none"/>
              </w:rPr>
              <w:t>接收</w:t>
            </w:r>
            <w:r>
              <w:rPr>
                <w:rFonts w:hint="eastAsia" w:ascii="宋体" w:hAnsi="宋体" w:cs="宋体"/>
                <w:kern w:val="0"/>
                <w:szCs w:val="21"/>
                <w:highlight w:val="none"/>
              </w:rPr>
              <w:t>磋商文件</w:t>
            </w:r>
            <w:r>
              <w:rPr>
                <w:rFonts w:ascii="宋体" w:hAnsi="宋体" w:cs="宋体"/>
                <w:kern w:val="0"/>
                <w:szCs w:val="21"/>
                <w:highlight w:val="none"/>
              </w:rPr>
              <w:t>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vAlign w:val="center"/>
          </w:tcPr>
          <w:p>
            <w:pPr>
              <w:widowControl/>
              <w:spacing w:line="500" w:lineRule="atLeast"/>
              <w:jc w:val="left"/>
              <w:rPr>
                <w:rFonts w:ascii="宋体" w:hAnsi="宋体" w:cs="宋体"/>
                <w:kern w:val="0"/>
                <w:szCs w:val="21"/>
                <w:highlight w:val="none"/>
              </w:rPr>
            </w:pPr>
            <w:r>
              <w:rPr>
                <w:rFonts w:hint="eastAsia" w:ascii="宋体" w:hAnsi="宋体" w:cs="宋体"/>
                <w:kern w:val="0"/>
                <w:szCs w:val="21"/>
                <w:highlight w:val="none"/>
              </w:rPr>
              <w:t>文件获取</w:t>
            </w:r>
            <w:r>
              <w:rPr>
                <w:rFonts w:ascii="宋体" w:hAnsi="宋体" w:cs="宋体"/>
                <w:kern w:val="0"/>
                <w:szCs w:val="21"/>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vAlign w:val="center"/>
          </w:tcPr>
          <w:p>
            <w:pPr>
              <w:widowControl/>
              <w:spacing w:line="500" w:lineRule="atLeast"/>
              <w:jc w:val="left"/>
              <w:rPr>
                <w:rFonts w:ascii="宋体" w:hAnsi="宋体" w:cs="宋体"/>
                <w:kern w:val="0"/>
                <w:szCs w:val="21"/>
                <w:highlight w:val="none"/>
              </w:rPr>
            </w:pPr>
            <w:r>
              <w:rPr>
                <w:rFonts w:hint="eastAsia" w:ascii="宋体" w:hAnsi="宋体" w:cs="宋体"/>
                <w:kern w:val="0"/>
                <w:szCs w:val="21"/>
                <w:highlight w:val="none"/>
              </w:rPr>
              <w:t>被授权人</w:t>
            </w:r>
            <w:r>
              <w:rPr>
                <w:rFonts w:ascii="宋体" w:hAnsi="宋体" w:cs="宋体"/>
                <w:kern w:val="0"/>
                <w:szCs w:val="21"/>
                <w:highlight w:val="none"/>
              </w:rPr>
              <w:t>签字：</w:t>
            </w:r>
          </w:p>
        </w:tc>
      </w:tr>
    </w:tbl>
    <w:p>
      <w:pPr>
        <w:jc w:val="center"/>
        <w:rPr>
          <w:rFonts w:ascii="宋体" w:hAnsi="宋体"/>
          <w:b/>
          <w:bCs/>
          <w:szCs w:val="21"/>
          <w:highlight w:val="none"/>
        </w:rPr>
      </w:pPr>
      <w:r>
        <w:rPr>
          <w:rFonts w:ascii="宋体" w:hAnsi="宋体"/>
          <w:b/>
          <w:bCs/>
          <w:color w:val="000000"/>
          <w:szCs w:val="21"/>
          <w:highlight w:val="none"/>
          <w:shd w:val="clear" w:color="auto" w:fill="FFFFFF"/>
        </w:rPr>
        <w:t>注：供应商应完整填写表格，并对内容的真实性和有效性负全部责任。</w:t>
      </w:r>
    </w:p>
    <w:p>
      <w:pPr>
        <w:rPr>
          <w:highlight w:val="none"/>
        </w:rPr>
      </w:pPr>
    </w:p>
    <w:p>
      <w:pPr>
        <w:ind w:firstLine="720" w:firstLineChars="300"/>
        <w:rPr>
          <w:rFonts w:ascii="宋体" w:hAnsi="宋体"/>
          <w:sz w:val="24"/>
          <w:highlight w:val="none"/>
        </w:rPr>
      </w:pPr>
    </w:p>
    <w:p>
      <w:pPr>
        <w:spacing w:line="360" w:lineRule="auto"/>
        <w:ind w:firstLine="480" w:firstLineChars="200"/>
        <w:rPr>
          <w:sz w:val="24"/>
          <w:highlight w:val="none"/>
        </w:rPr>
      </w:pPr>
    </w:p>
    <w:bookmarkEnd w:id="2"/>
    <w:bookmarkEnd w:id="3"/>
    <w:bookmarkEnd w:id="4"/>
    <w:bookmarkEnd w:id="5"/>
    <w:bookmarkEnd w:id="6"/>
    <w:p>
      <w:pPr>
        <w:tabs>
          <w:tab w:val="left" w:pos="900"/>
          <w:tab w:val="left" w:pos="1134"/>
          <w:tab w:val="left" w:pos="1589"/>
          <w:tab w:val="left" w:pos="5521"/>
        </w:tabs>
        <w:snapToGrid w:val="0"/>
        <w:spacing w:line="360" w:lineRule="auto"/>
        <w:rPr>
          <w:sz w:val="24"/>
          <w:highlight w:val="none"/>
        </w:rPr>
      </w:pPr>
    </w:p>
    <w:p>
      <w:pPr>
        <w:spacing w:line="360" w:lineRule="auto"/>
        <w:ind w:firstLine="5880" w:firstLineChars="2450"/>
        <w:jc w:val="right"/>
        <w:rPr>
          <w:sz w:val="24"/>
          <w:highlight w:val="none"/>
        </w:rPr>
      </w:pPr>
    </w:p>
    <w:p>
      <w:pPr>
        <w:spacing w:line="360" w:lineRule="auto"/>
        <w:jc w:val="center"/>
        <w:outlineLvl w:val="0"/>
        <w:rPr>
          <w:b/>
          <w:sz w:val="32"/>
          <w:szCs w:val="32"/>
          <w:highlight w:val="none"/>
        </w:rPr>
      </w:pPr>
      <w:r>
        <w:rPr>
          <w:sz w:val="24"/>
          <w:highlight w:val="none"/>
        </w:rPr>
        <w:br w:type="page"/>
      </w:r>
      <w:bookmarkStart w:id="49" w:name="_Toc264969275"/>
      <w:bookmarkStart w:id="50" w:name="_Toc127151777"/>
      <w:bookmarkStart w:id="51" w:name="_Toc226965856"/>
      <w:bookmarkStart w:id="52" w:name="_Toc512937850"/>
      <w:bookmarkStart w:id="53" w:name="_Toc305158928"/>
      <w:bookmarkStart w:id="54" w:name="_Toc150774783"/>
      <w:bookmarkStart w:id="55" w:name="_Toc353873938"/>
      <w:bookmarkStart w:id="56" w:name="_Toc127161488"/>
      <w:bookmarkStart w:id="57" w:name="_Toc305158854"/>
      <w:bookmarkStart w:id="58" w:name="_Toc265228423"/>
      <w:bookmarkStart w:id="59" w:name="_Toc104818926"/>
      <w:bookmarkStart w:id="60" w:name="_Toc353825548"/>
      <w:bookmarkStart w:id="61" w:name="_Toc195842950"/>
      <w:r>
        <w:rPr>
          <w:b/>
          <w:sz w:val="36"/>
          <w:szCs w:val="36"/>
          <w:highlight w:val="none"/>
        </w:rPr>
        <w:t>第二章供应商须知</w:t>
      </w:r>
      <w:bookmarkEnd w:id="49"/>
      <w:bookmarkEnd w:id="50"/>
      <w:bookmarkEnd w:id="51"/>
      <w:bookmarkEnd w:id="52"/>
      <w:bookmarkEnd w:id="53"/>
      <w:bookmarkEnd w:id="54"/>
      <w:bookmarkEnd w:id="55"/>
      <w:bookmarkEnd w:id="56"/>
      <w:bookmarkEnd w:id="57"/>
      <w:bookmarkEnd w:id="58"/>
      <w:bookmarkEnd w:id="59"/>
      <w:bookmarkEnd w:id="60"/>
      <w:bookmarkEnd w:id="61"/>
    </w:p>
    <w:p>
      <w:pPr>
        <w:pStyle w:val="4"/>
        <w:tabs>
          <w:tab w:val="center" w:pos="4592"/>
          <w:tab w:val="left" w:pos="7860"/>
        </w:tabs>
        <w:spacing w:before="0" w:line="360" w:lineRule="auto"/>
        <w:rPr>
          <w:rFonts w:ascii="Times New Roman" w:hAnsi="Times New Roman" w:eastAsia="宋体"/>
          <w:b w:val="0"/>
          <w:sz w:val="28"/>
          <w:highlight w:val="none"/>
        </w:rPr>
      </w:pPr>
      <w:bookmarkStart w:id="62" w:name="_Toc226965709"/>
      <w:bookmarkStart w:id="63" w:name="_Toc164229214"/>
      <w:bookmarkStart w:id="64" w:name="_Toc151193761"/>
      <w:bookmarkStart w:id="65" w:name="_Toc226337215"/>
      <w:bookmarkStart w:id="66" w:name="_Toc151193689"/>
      <w:bookmarkStart w:id="67" w:name="_Toc150774619"/>
      <w:bookmarkStart w:id="68" w:name="_Toc127161433"/>
      <w:bookmarkStart w:id="69" w:name="_Toc151193833"/>
      <w:bookmarkStart w:id="70" w:name="_Toc150480757"/>
      <w:bookmarkStart w:id="71" w:name="_Toc127151519"/>
      <w:bookmarkStart w:id="72" w:name="_Toc164229360"/>
      <w:bookmarkStart w:id="73" w:name="_Toc150774724"/>
      <w:bookmarkStart w:id="74" w:name="_Toc520356144"/>
      <w:bookmarkStart w:id="75" w:name="_Toc142311021"/>
      <w:bookmarkStart w:id="76" w:name="_Toc164608633"/>
      <w:bookmarkStart w:id="77" w:name="_Toc127151720"/>
      <w:bookmarkStart w:id="78" w:name="_Toc151193907"/>
      <w:bookmarkStart w:id="79" w:name="_Toc195842884"/>
      <w:bookmarkStart w:id="80" w:name="_Toc164351613"/>
      <w:bookmarkStart w:id="81" w:name="_Toc164608788"/>
      <w:bookmarkStart w:id="82" w:name="_Toc151193617"/>
      <w:bookmarkStart w:id="83" w:name="_Toc150509270"/>
      <w:bookmarkStart w:id="84" w:name="_Toc226965792"/>
      <w:bookmarkStart w:id="85" w:name="_Toc226309763"/>
      <w:bookmarkStart w:id="86" w:name="_Toc149720812"/>
      <w:bookmarkStart w:id="87" w:name="_Toc151190146"/>
      <w:r>
        <w:rPr>
          <w:rFonts w:ascii="Times New Roman" w:hAnsi="Times New Roman" w:eastAsia="宋体"/>
          <w:sz w:val="28"/>
          <w:highlight w:val="none"/>
        </w:rPr>
        <w:t>供应商须知资料表</w:t>
      </w:r>
    </w:p>
    <w:p>
      <w:pPr>
        <w:jc w:val="center"/>
        <w:rPr>
          <w:b/>
          <w:sz w:val="28"/>
          <w:szCs w:val="28"/>
          <w:highlight w:val="none"/>
        </w:rPr>
      </w:pPr>
    </w:p>
    <w:p>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51"/>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highlight w:val="none"/>
              </w:rPr>
            </w:pPr>
            <w:r>
              <w:rPr>
                <w:b/>
                <w:sz w:val="24"/>
                <w:highlight w:val="none"/>
              </w:rPr>
              <w:t>条款号</w:t>
            </w:r>
          </w:p>
        </w:tc>
        <w:tc>
          <w:tcPr>
            <w:tcW w:w="1701" w:type="dxa"/>
            <w:vAlign w:val="center"/>
          </w:tcPr>
          <w:p>
            <w:pPr>
              <w:jc w:val="center"/>
              <w:rPr>
                <w:b/>
                <w:bCs/>
                <w:sz w:val="24"/>
                <w:highlight w:val="none"/>
              </w:rPr>
            </w:pPr>
            <w:r>
              <w:rPr>
                <w:b/>
                <w:bCs/>
                <w:sz w:val="24"/>
                <w:highlight w:val="none"/>
              </w:rPr>
              <w:t>条目</w:t>
            </w:r>
          </w:p>
        </w:tc>
        <w:tc>
          <w:tcPr>
            <w:tcW w:w="7253" w:type="dxa"/>
            <w:vAlign w:val="center"/>
          </w:tcPr>
          <w:p>
            <w:pPr>
              <w:jc w:val="center"/>
              <w:rPr>
                <w:b/>
                <w:bCs/>
                <w:sz w:val="24"/>
                <w:highlight w:val="none"/>
              </w:rPr>
            </w:pPr>
            <w:r>
              <w:rPr>
                <w:b/>
                <w:bCs/>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pPr>
              <w:jc w:val="center"/>
              <w:rPr>
                <w:sz w:val="24"/>
                <w:highlight w:val="none"/>
              </w:rPr>
            </w:pPr>
            <w:r>
              <w:rPr>
                <w:sz w:val="24"/>
                <w:highlight w:val="none"/>
              </w:rPr>
              <w:t>项目属性</w:t>
            </w:r>
          </w:p>
        </w:tc>
        <w:tc>
          <w:tcPr>
            <w:tcW w:w="7253" w:type="dxa"/>
            <w:vAlign w:val="center"/>
          </w:tcPr>
          <w:p>
            <w:pPr>
              <w:jc w:val="left"/>
              <w:rPr>
                <w:sz w:val="24"/>
                <w:highlight w:val="none"/>
              </w:rPr>
            </w:pPr>
            <w:r>
              <w:rPr>
                <w:sz w:val="24"/>
                <w:highlight w:val="none"/>
              </w:rPr>
              <w:t>项目属性：</w:t>
            </w:r>
          </w:p>
          <w:p>
            <w:pPr>
              <w:jc w:val="left"/>
              <w:rPr>
                <w:sz w:val="24"/>
                <w:highlight w:val="none"/>
              </w:rPr>
            </w:pPr>
            <w:r>
              <w:rPr>
                <w:sz w:val="24"/>
                <w:highlight w:val="none"/>
              </w:rPr>
              <w:sym w:font="Wingdings 2" w:char="00A3"/>
            </w:r>
            <w:r>
              <w:rPr>
                <w:sz w:val="24"/>
                <w:highlight w:val="none"/>
              </w:rPr>
              <w:t>服务</w:t>
            </w:r>
          </w:p>
          <w:p>
            <w:pPr>
              <w:jc w:val="left"/>
              <w:rPr>
                <w:sz w:val="24"/>
                <w:highlight w:val="none"/>
              </w:rPr>
            </w:pPr>
            <w:r>
              <w:rPr>
                <w:sz w:val="24"/>
                <w:highlight w:val="none"/>
              </w:rPr>
              <w:sym w:font="Wingdings 2" w:char="00A3"/>
            </w:r>
            <w:r>
              <w:rPr>
                <w:sz w:val="24"/>
                <w:highlight w:val="none"/>
              </w:rPr>
              <w:t>货物</w:t>
            </w:r>
          </w:p>
          <w:p>
            <w:pPr>
              <w:jc w:val="left"/>
              <w:rPr>
                <w:sz w:val="24"/>
                <w:highlight w:val="none"/>
                <w:u w:val="single"/>
              </w:rPr>
            </w:pPr>
            <w:r>
              <w:rPr>
                <w:b/>
                <w:color w:val="000000"/>
                <w:sz w:val="24"/>
                <w:highlight w:val="none"/>
              </w:rPr>
              <w:t>■</w:t>
            </w:r>
            <w:r>
              <w:rPr>
                <w:rFonts w:hint="eastAsia"/>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pPr>
              <w:jc w:val="center"/>
              <w:rPr>
                <w:sz w:val="24"/>
                <w:highlight w:val="none"/>
              </w:rPr>
            </w:pPr>
            <w:r>
              <w:rPr>
                <w:sz w:val="24"/>
                <w:highlight w:val="none"/>
              </w:rPr>
              <w:t>科研仪器设备</w:t>
            </w:r>
          </w:p>
        </w:tc>
        <w:tc>
          <w:tcPr>
            <w:tcW w:w="7253" w:type="dxa"/>
            <w:vAlign w:val="center"/>
          </w:tcPr>
          <w:p>
            <w:pPr>
              <w:jc w:val="left"/>
              <w:rPr>
                <w:sz w:val="24"/>
                <w:highlight w:val="none"/>
              </w:rPr>
            </w:pPr>
            <w:r>
              <w:rPr>
                <w:sz w:val="24"/>
                <w:highlight w:val="none"/>
              </w:rPr>
              <w:t>是否属于科研仪器设备采购项目：</w:t>
            </w:r>
          </w:p>
          <w:p>
            <w:pPr>
              <w:jc w:val="left"/>
              <w:rPr>
                <w:sz w:val="24"/>
                <w:highlight w:val="none"/>
              </w:rPr>
            </w:pPr>
            <w:r>
              <w:rPr>
                <w:highlight w:val="none"/>
              </w:rPr>
              <w:t>□</w:t>
            </w:r>
            <w:r>
              <w:rPr>
                <w:sz w:val="24"/>
                <w:highlight w:val="none"/>
              </w:rPr>
              <w:t>是</w:t>
            </w:r>
          </w:p>
          <w:p>
            <w:pPr>
              <w:jc w:val="left"/>
              <w:rPr>
                <w:sz w:val="24"/>
                <w:highlight w:val="none"/>
              </w:rPr>
            </w:pPr>
            <w:r>
              <w:rPr>
                <w:b/>
                <w:color w:val="000000"/>
                <w:sz w:val="24"/>
                <w:highlight w:val="none"/>
              </w:rPr>
              <w:t>■</w:t>
            </w:r>
            <w:r>
              <w:rPr>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pPr>
              <w:jc w:val="center"/>
              <w:rPr>
                <w:sz w:val="24"/>
                <w:highlight w:val="none"/>
              </w:rPr>
            </w:pPr>
            <w:r>
              <w:rPr>
                <w:sz w:val="24"/>
                <w:highlight w:val="none"/>
              </w:rPr>
              <w:t>现场考察</w:t>
            </w:r>
          </w:p>
        </w:tc>
        <w:tc>
          <w:tcPr>
            <w:tcW w:w="7253" w:type="dxa"/>
            <w:vAlign w:val="center"/>
          </w:tcPr>
          <w:p>
            <w:pPr>
              <w:jc w:val="left"/>
              <w:rPr>
                <w:sz w:val="24"/>
                <w:highlight w:val="none"/>
              </w:rPr>
            </w:pPr>
            <w:r>
              <w:rPr>
                <w:b/>
                <w:color w:val="000000"/>
                <w:sz w:val="24"/>
                <w:highlight w:val="none"/>
              </w:rPr>
              <w:t>■</w:t>
            </w:r>
            <w:r>
              <w:rPr>
                <w:sz w:val="24"/>
                <w:highlight w:val="none"/>
              </w:rPr>
              <w:t>不组织</w:t>
            </w:r>
          </w:p>
          <w:p>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pPr>
              <w:pStyle w:val="27"/>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7"/>
              <w:adjustRightInd w:val="0"/>
              <w:snapToGrid w:val="0"/>
              <w:jc w:val="center"/>
              <w:rPr>
                <w:rFonts w:hint="default" w:ascii="Times New Roman" w:hAnsi="Times New Roman"/>
                <w:sz w:val="24"/>
                <w:szCs w:val="24"/>
                <w:highlight w:val="none"/>
              </w:rPr>
            </w:pPr>
          </w:p>
        </w:tc>
        <w:tc>
          <w:tcPr>
            <w:tcW w:w="1701" w:type="dxa"/>
            <w:vAlign w:val="center"/>
          </w:tcPr>
          <w:p>
            <w:pPr>
              <w:jc w:val="center"/>
              <w:rPr>
                <w:sz w:val="24"/>
                <w:highlight w:val="none"/>
              </w:rPr>
            </w:pPr>
            <w:r>
              <w:rPr>
                <w:sz w:val="24"/>
                <w:highlight w:val="none"/>
              </w:rPr>
              <w:t>磋商前答疑会</w:t>
            </w:r>
          </w:p>
        </w:tc>
        <w:tc>
          <w:tcPr>
            <w:tcW w:w="7253" w:type="dxa"/>
            <w:vAlign w:val="center"/>
          </w:tcPr>
          <w:p>
            <w:pPr>
              <w:jc w:val="left"/>
              <w:rPr>
                <w:sz w:val="24"/>
                <w:highlight w:val="none"/>
              </w:rPr>
            </w:pPr>
            <w:r>
              <w:rPr>
                <w:b/>
                <w:color w:val="000000"/>
                <w:sz w:val="24"/>
                <w:highlight w:val="none"/>
              </w:rPr>
              <w:t>■</w:t>
            </w:r>
            <w:r>
              <w:rPr>
                <w:sz w:val="24"/>
                <w:highlight w:val="none"/>
              </w:rPr>
              <w:t>不召开</w:t>
            </w:r>
          </w:p>
          <w:p>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pPr>
              <w:jc w:val="left"/>
              <w:rPr>
                <w:sz w:val="24"/>
                <w:highlight w:val="none"/>
              </w:rPr>
            </w:pPr>
            <w:r>
              <w:rPr>
                <w:sz w:val="24"/>
                <w:highlight w:val="none"/>
              </w:rPr>
              <w:t>召开地点：___________</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pPr>
              <w:jc w:val="center"/>
              <w:rPr>
                <w:sz w:val="24"/>
                <w:highlight w:val="none"/>
              </w:rPr>
            </w:pPr>
            <w:r>
              <w:rPr>
                <w:sz w:val="24"/>
                <w:highlight w:val="none"/>
              </w:rPr>
              <w:t>报价</w:t>
            </w:r>
          </w:p>
        </w:tc>
        <w:tc>
          <w:tcPr>
            <w:tcW w:w="7253" w:type="dxa"/>
            <w:vAlign w:val="center"/>
          </w:tcPr>
          <w:p>
            <w:pPr>
              <w:jc w:val="left"/>
              <w:rPr>
                <w:sz w:val="24"/>
                <w:highlight w:val="none"/>
              </w:rPr>
            </w:pPr>
            <w:r>
              <w:rPr>
                <w:sz w:val="24"/>
                <w:highlight w:val="none"/>
              </w:rPr>
              <w:t>报价的特殊规定：</w:t>
            </w:r>
          </w:p>
          <w:p>
            <w:pPr>
              <w:jc w:val="left"/>
              <w:rPr>
                <w:sz w:val="24"/>
                <w:highlight w:val="none"/>
              </w:rPr>
            </w:pPr>
            <w:r>
              <w:rPr>
                <w:highlight w:val="none"/>
              </w:rPr>
              <w:t>□</w:t>
            </w:r>
            <w:r>
              <w:rPr>
                <w:sz w:val="24"/>
                <w:highlight w:val="none"/>
              </w:rPr>
              <w:t>无</w:t>
            </w:r>
          </w:p>
          <w:p>
            <w:pPr>
              <w:jc w:val="left"/>
              <w:rPr>
                <w:sz w:val="24"/>
                <w:highlight w:val="none"/>
              </w:rPr>
            </w:pPr>
            <w:r>
              <w:rPr>
                <w:b/>
                <w:color w:val="000000"/>
                <w:sz w:val="24"/>
                <w:highlight w:val="none"/>
              </w:rPr>
              <w:t>■</w:t>
            </w:r>
            <w:r>
              <w:rPr>
                <w:sz w:val="24"/>
                <w:highlight w:val="none"/>
              </w:rPr>
              <w:t>有，具体情形：</w:t>
            </w:r>
            <w:r>
              <w:rPr>
                <w:rFonts w:hint="eastAsia"/>
                <w:b/>
                <w:bCs/>
                <w:sz w:val="24"/>
                <w:highlight w:val="none"/>
                <w:u w:val="single"/>
              </w:rPr>
              <w:t>本项目磋商报价</w:t>
            </w:r>
            <w:r>
              <w:rPr>
                <w:b/>
                <w:bCs/>
                <w:sz w:val="24"/>
                <w:highlight w:val="none"/>
                <w:u w:val="single"/>
              </w:rPr>
              <w:t>2</w:t>
            </w:r>
            <w:r>
              <w:rPr>
                <w:rFonts w:hint="eastAsia"/>
                <w:b/>
                <w:bCs/>
                <w:sz w:val="24"/>
                <w:highlight w:val="none"/>
                <w:u w:val="single"/>
              </w:rPr>
              <w:t>次</w:t>
            </w:r>
            <w:r>
              <w:rPr>
                <w:rFonts w:hint="eastAsia"/>
                <w:sz w:val="24"/>
                <w:highlight w:val="none"/>
              </w:rPr>
              <w:t>，响应文件的磋商报价作为首次报价。磋商小组评审结束后，所有继续参加磋商的供应商在规定时间内提交第二次磋商报价作为最终报价，最终报价作为评定成交的依据。</w:t>
            </w:r>
          </w:p>
        </w:tc>
      </w:tr>
      <w:tr>
        <w:tblPrEx>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Align w:val="center"/>
          </w:tcPr>
          <w:p>
            <w:pPr>
              <w:jc w:val="center"/>
              <w:rPr>
                <w:sz w:val="24"/>
                <w:highlight w:val="none"/>
              </w:rPr>
            </w:pPr>
            <w:r>
              <w:rPr>
                <w:sz w:val="24"/>
                <w:highlight w:val="none"/>
              </w:rPr>
              <w:t>磋商保证金</w:t>
            </w:r>
          </w:p>
        </w:tc>
        <w:tc>
          <w:tcPr>
            <w:tcW w:w="7253" w:type="dxa"/>
            <w:vAlign w:val="center"/>
          </w:tcPr>
          <w:p>
            <w:pPr>
              <w:jc w:val="left"/>
              <w:rPr>
                <w:sz w:val="24"/>
                <w:highlight w:val="none"/>
              </w:rPr>
            </w:pPr>
            <w:r>
              <w:rPr>
                <w:rFonts w:hint="eastAsia"/>
                <w:sz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pPr>
              <w:jc w:val="center"/>
              <w:rPr>
                <w:sz w:val="24"/>
                <w:highlight w:val="none"/>
              </w:rPr>
            </w:pPr>
            <w:r>
              <w:rPr>
                <w:sz w:val="24"/>
                <w:highlight w:val="none"/>
              </w:rPr>
              <w:t>响应有效期</w:t>
            </w:r>
          </w:p>
        </w:tc>
        <w:tc>
          <w:tcPr>
            <w:tcW w:w="7253" w:type="dxa"/>
            <w:vAlign w:val="center"/>
          </w:tcPr>
          <w:p>
            <w:pPr>
              <w:jc w:val="left"/>
              <w:rPr>
                <w:sz w:val="24"/>
                <w:highlight w:val="none"/>
              </w:rPr>
            </w:pPr>
            <w:r>
              <w:rPr>
                <w:sz w:val="24"/>
                <w:highlight w:val="none"/>
              </w:rPr>
              <w:t>自提交响应文件的截止之日起算</w:t>
            </w:r>
            <w:r>
              <w:rPr>
                <w:sz w:val="24"/>
                <w:highlight w:val="none"/>
                <w:u w:val="single"/>
              </w:rPr>
              <w:t>60</w:t>
            </w:r>
            <w:r>
              <w:rPr>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14.1</w:t>
            </w:r>
          </w:p>
        </w:tc>
        <w:tc>
          <w:tcPr>
            <w:tcW w:w="1701" w:type="dxa"/>
            <w:vAlign w:val="center"/>
          </w:tcPr>
          <w:p>
            <w:pPr>
              <w:jc w:val="center"/>
              <w:rPr>
                <w:sz w:val="24"/>
                <w:highlight w:val="none"/>
              </w:rPr>
            </w:pPr>
            <w:r>
              <w:rPr>
                <w:rFonts w:hint="eastAsia"/>
                <w:sz w:val="24"/>
                <w:highlight w:val="none"/>
              </w:rPr>
              <w:t>响应文件份数</w:t>
            </w:r>
          </w:p>
        </w:tc>
        <w:tc>
          <w:tcPr>
            <w:tcW w:w="7253" w:type="dxa"/>
            <w:vAlign w:val="center"/>
          </w:tcPr>
          <w:p>
            <w:pPr>
              <w:jc w:val="left"/>
              <w:rPr>
                <w:sz w:val="24"/>
                <w:highlight w:val="none"/>
              </w:rPr>
            </w:pPr>
            <w:r>
              <w:rPr>
                <w:rFonts w:ascii="宋体" w:hAnsi="宋体" w:cs="宋体"/>
                <w:b/>
                <w:bCs/>
                <w:kern w:val="0"/>
                <w:sz w:val="24"/>
                <w:highlight w:val="none"/>
              </w:rPr>
              <w:t>正本1份，副本2份</w:t>
            </w:r>
            <w:r>
              <w:rPr>
                <w:rFonts w:hint="eastAsia" w:ascii="宋体" w:hAnsi="宋体" w:cs="宋体"/>
                <w:b/>
                <w:bCs/>
                <w:kern w:val="0"/>
                <w:sz w:val="24"/>
                <w:highlight w:val="none"/>
              </w:rPr>
              <w:t>，电子光盘或U盘一份（含PDF格式全套正本磋商响应文件）。</w:t>
            </w:r>
            <w:r>
              <w:rPr>
                <w:rFonts w:ascii="宋体" w:hAnsi="宋体" w:cs="宋体"/>
                <w:kern w:val="0"/>
                <w:sz w:val="24"/>
                <w:highlight w:val="none"/>
              </w:rPr>
              <w:t>不论供应商成交与否，响应文件均不退回。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pPr>
              <w:jc w:val="center"/>
              <w:rPr>
                <w:sz w:val="24"/>
                <w:highlight w:val="none"/>
              </w:rPr>
            </w:pPr>
            <w:r>
              <w:rPr>
                <w:sz w:val="24"/>
                <w:highlight w:val="none"/>
              </w:rPr>
              <w:t>分包</w:t>
            </w:r>
          </w:p>
        </w:tc>
        <w:tc>
          <w:tcPr>
            <w:tcW w:w="7253" w:type="dxa"/>
            <w:vAlign w:val="center"/>
          </w:tcPr>
          <w:p>
            <w:pPr>
              <w:jc w:val="left"/>
              <w:rPr>
                <w:sz w:val="24"/>
                <w:highlight w:val="none"/>
              </w:rPr>
            </w:pPr>
            <w:r>
              <w:rPr>
                <w:sz w:val="24"/>
                <w:highlight w:val="none"/>
              </w:rPr>
              <w:t>本项目是否允许分包：</w:t>
            </w:r>
          </w:p>
          <w:p>
            <w:pPr>
              <w:jc w:val="left"/>
              <w:rPr>
                <w:sz w:val="24"/>
                <w:highlight w:val="none"/>
              </w:rPr>
            </w:pPr>
            <w:r>
              <w:rPr>
                <w:b/>
                <w:color w:val="000000"/>
                <w:sz w:val="24"/>
                <w:highlight w:val="none"/>
              </w:rPr>
              <w:t>■</w:t>
            </w:r>
            <w:r>
              <w:rPr>
                <w:sz w:val="24"/>
                <w:highlight w:val="none"/>
              </w:rPr>
              <w:t>不允许</w:t>
            </w:r>
          </w:p>
          <w:p>
            <w:pPr>
              <w:jc w:val="left"/>
              <w:rPr>
                <w:sz w:val="24"/>
                <w:highlight w:val="none"/>
              </w:rPr>
            </w:pPr>
            <w:r>
              <w:rPr>
                <w:highlight w:val="none"/>
              </w:rPr>
              <w:t>□</w:t>
            </w:r>
            <w:r>
              <w:rPr>
                <w:sz w:val="24"/>
                <w:highlight w:val="none"/>
              </w:rPr>
              <w:t>允许，具体要求：_______。</w:t>
            </w:r>
          </w:p>
          <w:p>
            <w:pPr>
              <w:jc w:val="left"/>
              <w:rPr>
                <w:sz w:val="24"/>
                <w:highlight w:val="none"/>
              </w:rPr>
            </w:pPr>
            <w:r>
              <w:rPr>
                <w:sz w:val="24"/>
                <w:highlight w:val="none"/>
              </w:rPr>
              <w:t>（1）可以分包履行的具体内容：_______；</w:t>
            </w:r>
          </w:p>
          <w:p>
            <w:pPr>
              <w:jc w:val="left"/>
              <w:rPr>
                <w:sz w:val="24"/>
                <w:highlight w:val="none"/>
              </w:rPr>
            </w:pPr>
            <w:r>
              <w:rPr>
                <w:sz w:val="24"/>
                <w:highlight w:val="none"/>
              </w:rPr>
              <w:t>（2）允许分包的金额或者比例：_______；</w:t>
            </w:r>
          </w:p>
          <w:p>
            <w:pPr>
              <w:jc w:val="left"/>
              <w:rPr>
                <w:sz w:val="24"/>
                <w:highlight w:val="none"/>
                <w:u w:val="single"/>
              </w:rPr>
            </w:pPr>
            <w:r>
              <w:rPr>
                <w:sz w:val="24"/>
                <w:highlight w:val="none"/>
              </w:rPr>
              <w:t>（3）其他要求：_______。</w:t>
            </w:r>
          </w:p>
        </w:tc>
      </w:tr>
      <w:tr>
        <w:tblPrEx>
          <w:tblCellMar>
            <w:top w:w="0" w:type="dxa"/>
            <w:left w:w="108" w:type="dxa"/>
            <w:bottom w:w="0" w:type="dxa"/>
            <w:right w:w="108" w:type="dxa"/>
          </w:tblCellMar>
        </w:tblPrEx>
        <w:trPr>
          <w:trHeight w:val="61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pPr>
              <w:jc w:val="center"/>
              <w:rPr>
                <w:sz w:val="24"/>
                <w:highlight w:val="none"/>
              </w:rPr>
            </w:pPr>
            <w:r>
              <w:rPr>
                <w:sz w:val="24"/>
                <w:highlight w:val="none"/>
              </w:rPr>
              <w:t>询问</w:t>
            </w:r>
          </w:p>
        </w:tc>
        <w:tc>
          <w:tcPr>
            <w:tcW w:w="7253" w:type="dxa"/>
            <w:vAlign w:val="center"/>
          </w:tcPr>
          <w:p>
            <w:pPr>
              <w:jc w:val="left"/>
              <w:rPr>
                <w:sz w:val="24"/>
                <w:highlight w:val="none"/>
              </w:rPr>
            </w:pPr>
            <w:r>
              <w:rPr>
                <w:sz w:val="24"/>
                <w:highlight w:val="none"/>
              </w:rPr>
              <w:t>询问送达形式：</w:t>
            </w:r>
            <w:r>
              <w:rPr>
                <w:rFonts w:hint="eastAsia"/>
                <w:sz w:val="24"/>
                <w:highlight w:val="none"/>
                <w:u w:val="single"/>
              </w:rPr>
              <w:t>书面</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bookmarkStart w:id="861" w:name="_GoBack" w:colFirst="2" w:colLast="2"/>
            <w:r>
              <w:rPr>
                <w:rFonts w:hint="default" w:ascii="Times New Roman" w:hAnsi="Times New Roman"/>
                <w:sz w:val="24"/>
                <w:szCs w:val="24"/>
                <w:highlight w:val="none"/>
              </w:rPr>
              <w:t>24.3</w:t>
            </w:r>
          </w:p>
        </w:tc>
        <w:tc>
          <w:tcPr>
            <w:tcW w:w="1701" w:type="dxa"/>
            <w:vAlign w:val="center"/>
          </w:tcPr>
          <w:p>
            <w:pPr>
              <w:jc w:val="center"/>
              <w:rPr>
                <w:sz w:val="24"/>
                <w:highlight w:val="none"/>
              </w:rPr>
            </w:pPr>
            <w:r>
              <w:rPr>
                <w:sz w:val="24"/>
                <w:highlight w:val="none"/>
              </w:rPr>
              <w:t>联系方式</w:t>
            </w:r>
          </w:p>
        </w:tc>
        <w:tc>
          <w:tcPr>
            <w:tcW w:w="7253" w:type="dxa"/>
            <w:vAlign w:val="center"/>
          </w:tcPr>
          <w:p>
            <w:pPr>
              <w:jc w:val="left"/>
              <w:rPr>
                <w:sz w:val="24"/>
                <w:highlight w:val="none"/>
              </w:rPr>
            </w:pPr>
            <w:r>
              <w:rPr>
                <w:sz w:val="24"/>
                <w:highlight w:val="none"/>
              </w:rPr>
              <w:t>接收询问和质疑的联系方式</w:t>
            </w:r>
          </w:p>
          <w:p>
            <w:pPr>
              <w:jc w:val="left"/>
              <w:rPr>
                <w:sz w:val="24"/>
                <w:highlight w:val="none"/>
              </w:rPr>
            </w:pPr>
            <w:r>
              <w:rPr>
                <w:sz w:val="24"/>
                <w:highlight w:val="none"/>
              </w:rPr>
              <w:t>联系部门：</w:t>
            </w:r>
            <w:r>
              <w:rPr>
                <w:rFonts w:hint="eastAsia"/>
                <w:sz w:val="24"/>
                <w:highlight w:val="none"/>
                <w:u w:val="single"/>
              </w:rPr>
              <w:t>招标采购中心</w:t>
            </w:r>
            <w:r>
              <w:rPr>
                <w:sz w:val="24"/>
                <w:highlight w:val="none"/>
              </w:rPr>
              <w:t>；</w:t>
            </w:r>
          </w:p>
          <w:p>
            <w:pPr>
              <w:jc w:val="left"/>
              <w:rPr>
                <w:sz w:val="24"/>
                <w:highlight w:val="none"/>
              </w:rPr>
            </w:pPr>
            <w:r>
              <w:rPr>
                <w:sz w:val="24"/>
                <w:highlight w:val="none"/>
              </w:rPr>
              <w:t>联系电话：</w:t>
            </w:r>
            <w:r>
              <w:rPr>
                <w:sz w:val="24"/>
                <w:highlight w:val="none"/>
                <w:u w:val="single"/>
              </w:rPr>
              <w:t>0519-68852676</w:t>
            </w:r>
            <w:r>
              <w:rPr>
                <w:sz w:val="24"/>
                <w:highlight w:val="none"/>
              </w:rPr>
              <w:t>；</w:t>
            </w:r>
          </w:p>
          <w:p>
            <w:pPr>
              <w:jc w:val="left"/>
              <w:rPr>
                <w:sz w:val="24"/>
                <w:highlight w:val="none"/>
              </w:rPr>
            </w:pPr>
            <w:r>
              <w:rPr>
                <w:sz w:val="24"/>
                <w:highlight w:val="none"/>
              </w:rPr>
              <w:t>通讯地址：</w:t>
            </w:r>
            <w:r>
              <w:rPr>
                <w:rFonts w:hint="eastAsia"/>
                <w:sz w:val="24"/>
                <w:highlight w:val="none"/>
                <w:u w:val="single"/>
              </w:rPr>
              <w:t>常州市武进区湖滨南路招商花园城蓝图大厦4楼</w:t>
            </w:r>
            <w:r>
              <w:rPr>
                <w:sz w:val="24"/>
                <w:highlight w:val="none"/>
              </w:rPr>
              <w:t>。</w:t>
            </w:r>
          </w:p>
          <w:p>
            <w:pPr>
              <w:jc w:val="left"/>
              <w:rPr>
                <w:sz w:val="24"/>
                <w:highlight w:val="none"/>
              </w:rPr>
            </w:pPr>
            <w:r>
              <w:rPr>
                <w:sz w:val="24"/>
                <w:highlight w:val="none"/>
              </w:rPr>
              <w:t>对采购文件需要进行澄清或有疑问的供应商，均应在</w:t>
            </w:r>
            <w:r>
              <w:rPr>
                <w:rFonts w:hint="eastAsia"/>
                <w:sz w:val="24"/>
                <w:highlight w:val="none"/>
                <w:lang w:eastAsia="zh-CN"/>
              </w:rPr>
              <w:t>2024</w:t>
            </w:r>
            <w:r>
              <w:rPr>
                <w:sz w:val="24"/>
                <w:highlight w:val="none"/>
              </w:rPr>
              <w:t>年</w:t>
            </w:r>
            <w:r>
              <w:rPr>
                <w:rFonts w:hint="eastAsia"/>
                <w:sz w:val="24"/>
                <w:highlight w:val="none"/>
                <w:lang w:val="en-US" w:eastAsia="zh-CN"/>
              </w:rPr>
              <w:t>5</w:t>
            </w:r>
            <w:r>
              <w:rPr>
                <w:sz w:val="24"/>
                <w:highlight w:val="none"/>
              </w:rPr>
              <w:t>月</w:t>
            </w:r>
            <w:r>
              <w:rPr>
                <w:rFonts w:hint="eastAsia"/>
                <w:sz w:val="24"/>
                <w:highlight w:val="none"/>
                <w:lang w:val="en-US" w:eastAsia="zh-CN"/>
              </w:rPr>
              <w:t xml:space="preserve">13 </w:t>
            </w:r>
            <w:r>
              <w:rPr>
                <w:sz w:val="24"/>
                <w:highlight w:val="none"/>
              </w:rPr>
              <w:t>日</w:t>
            </w:r>
            <w:r>
              <w:rPr>
                <w:rFonts w:hint="eastAsia"/>
                <w:sz w:val="24"/>
                <w:highlight w:val="none"/>
              </w:rPr>
              <w:t>1</w:t>
            </w:r>
            <w:r>
              <w:rPr>
                <w:sz w:val="24"/>
                <w:highlight w:val="none"/>
              </w:rPr>
              <w:t>7</w:t>
            </w:r>
            <w:r>
              <w:rPr>
                <w:rFonts w:hint="eastAsia"/>
                <w:sz w:val="24"/>
                <w:highlight w:val="none"/>
              </w:rPr>
              <w:t>:30</w:t>
            </w:r>
            <w:r>
              <w:rPr>
                <w:sz w:val="24"/>
                <w:highlight w:val="none"/>
              </w:rPr>
              <w:t>前按采购公告中的通讯地址，一次性将需要澄清或疑问内容以书面形式并加盖公章送达采购代理机构，否则视为无有效澄清或疑问。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pPr>
              <w:jc w:val="center"/>
              <w:rPr>
                <w:sz w:val="24"/>
                <w:highlight w:val="none"/>
              </w:rPr>
            </w:pPr>
            <w:r>
              <w:rPr>
                <w:sz w:val="24"/>
                <w:highlight w:val="none"/>
              </w:rPr>
              <w:t>代理费</w:t>
            </w:r>
          </w:p>
        </w:tc>
        <w:tc>
          <w:tcPr>
            <w:tcW w:w="7253" w:type="dxa"/>
            <w:vAlign w:val="center"/>
          </w:tcPr>
          <w:p>
            <w:pPr>
              <w:jc w:val="left"/>
              <w:rPr>
                <w:rFonts w:hint="eastAsia"/>
                <w:sz w:val="24"/>
                <w:highlight w:val="none"/>
              </w:rPr>
            </w:pPr>
            <w:r>
              <w:rPr>
                <w:rFonts w:hint="eastAsia"/>
                <w:sz w:val="24"/>
                <w:highlight w:val="none"/>
              </w:rPr>
              <w:t>收费对象：</w:t>
            </w:r>
          </w:p>
          <w:p>
            <w:pPr>
              <w:jc w:val="left"/>
              <w:rPr>
                <w:rFonts w:hint="eastAsia" w:eastAsia="宋体"/>
                <w:sz w:val="24"/>
                <w:highlight w:val="none"/>
                <w:lang w:eastAsia="zh-CN"/>
              </w:rPr>
            </w:pPr>
            <w:r>
              <w:rPr>
                <w:rFonts w:hint="eastAsia"/>
                <w:sz w:val="24"/>
                <w:highlight w:val="none"/>
              </w:rPr>
              <w:t>□</w:t>
            </w:r>
            <w:r>
              <w:rPr>
                <w:rFonts w:hint="eastAsia"/>
                <w:sz w:val="24"/>
                <w:highlight w:val="none"/>
                <w:lang w:eastAsia="zh-CN"/>
              </w:rPr>
              <w:t>采购人</w:t>
            </w:r>
          </w:p>
          <w:p>
            <w:pPr>
              <w:jc w:val="left"/>
              <w:rPr>
                <w:rFonts w:hint="eastAsia" w:eastAsia="宋体"/>
                <w:sz w:val="24"/>
                <w:highlight w:val="none"/>
                <w:lang w:eastAsia="zh-CN"/>
              </w:rPr>
            </w:pPr>
            <w:r>
              <w:rPr>
                <w:rFonts w:hint="eastAsia"/>
                <w:sz w:val="24"/>
                <w:highlight w:val="none"/>
              </w:rPr>
              <w:t>■</w:t>
            </w:r>
            <w:r>
              <w:rPr>
                <w:rFonts w:hint="eastAsia"/>
                <w:sz w:val="24"/>
                <w:highlight w:val="none"/>
                <w:lang w:val="en-US" w:eastAsia="zh-CN"/>
              </w:rPr>
              <w:t>成交供应商</w:t>
            </w:r>
          </w:p>
          <w:p>
            <w:pPr>
              <w:jc w:val="left"/>
              <w:rPr>
                <w:rFonts w:hint="eastAsia"/>
                <w:sz w:val="24"/>
                <w:highlight w:val="none"/>
              </w:rPr>
            </w:pPr>
            <w:r>
              <w:rPr>
                <w:rFonts w:hint="eastAsia"/>
                <w:sz w:val="24"/>
                <w:highlight w:val="none"/>
              </w:rPr>
              <w:t>收费标准：收费按原发改文件收费标准收取，不足3000元按3000元收取；</w:t>
            </w:r>
          </w:p>
          <w:p>
            <w:pPr>
              <w:jc w:val="left"/>
              <w:rPr>
                <w:rFonts w:hint="eastAsia"/>
                <w:sz w:val="24"/>
                <w:highlight w:val="none"/>
              </w:rPr>
            </w:pPr>
            <w:r>
              <w:rPr>
                <w:rFonts w:hint="eastAsia"/>
                <w:sz w:val="24"/>
                <w:highlight w:val="none"/>
              </w:rPr>
              <w:t>缴纳时间：领取中标通知书时</w:t>
            </w:r>
          </w:p>
          <w:p>
            <w:pPr>
              <w:jc w:val="left"/>
              <w:rPr>
                <w:rFonts w:hint="eastAsia"/>
                <w:sz w:val="24"/>
                <w:highlight w:val="none"/>
              </w:rPr>
            </w:pPr>
            <w:r>
              <w:rPr>
                <w:rFonts w:hint="eastAsia"/>
                <w:sz w:val="24"/>
                <w:highlight w:val="none"/>
              </w:rPr>
              <w:t>代理服务费账户：江苏春为全过程工程咨询有限公司</w:t>
            </w:r>
          </w:p>
          <w:p>
            <w:pPr>
              <w:jc w:val="left"/>
              <w:rPr>
                <w:rFonts w:hint="eastAsia"/>
                <w:sz w:val="24"/>
                <w:highlight w:val="none"/>
              </w:rPr>
            </w:pPr>
            <w:r>
              <w:rPr>
                <w:rFonts w:hint="eastAsia"/>
                <w:sz w:val="24"/>
                <w:highlight w:val="none"/>
              </w:rPr>
              <w:t xml:space="preserve">开户银行：江南农村商业银行武进支行   </w:t>
            </w:r>
          </w:p>
          <w:p>
            <w:pPr>
              <w:jc w:val="left"/>
              <w:rPr>
                <w:sz w:val="24"/>
                <w:highlight w:val="none"/>
              </w:rPr>
            </w:pPr>
            <w:r>
              <w:rPr>
                <w:rFonts w:hint="eastAsia"/>
                <w:sz w:val="24"/>
                <w:highlight w:val="none"/>
              </w:rPr>
              <w:t>账号：86001011012010000000995</w:t>
            </w:r>
          </w:p>
        </w:tc>
      </w:tr>
      <w:bookmarkEnd w:id="861"/>
    </w:tbl>
    <w:p>
      <w:pPr>
        <w:tabs>
          <w:tab w:val="left" w:pos="5580"/>
        </w:tabs>
        <w:adjustRightInd w:val="0"/>
        <w:spacing w:line="360" w:lineRule="auto"/>
        <w:jc w:val="distribute"/>
        <w:rPr>
          <w:sz w:val="24"/>
          <w:highlight w:val="none"/>
        </w:rPr>
        <w:sectPr>
          <w:footerReference r:id="rId9" w:type="first"/>
          <w:footerReference r:id="rId8" w:type="default"/>
          <w:pgSz w:w="11907" w:h="16840"/>
          <w:pgMar w:top="1418" w:right="850" w:bottom="1418" w:left="1701" w:header="851" w:footer="851" w:gutter="0"/>
          <w:pgNumType w:start="1"/>
          <w:cols w:space="720" w:num="1"/>
          <w:titlePg/>
          <w:docGrid w:linePitch="462" w:charSpace="0"/>
        </w:sectPr>
      </w:pPr>
    </w:p>
    <w:p>
      <w:pPr>
        <w:spacing w:before="240" w:beforeLines="100" w:after="240" w:afterLines="100"/>
        <w:jc w:val="center"/>
        <w:rPr>
          <w:b/>
          <w:sz w:val="28"/>
          <w:szCs w:val="28"/>
          <w:highlight w:val="none"/>
        </w:rPr>
      </w:pPr>
      <w:r>
        <w:rPr>
          <w:b/>
          <w:sz w:val="28"/>
          <w:szCs w:val="28"/>
          <w:highlight w:val="none"/>
        </w:rPr>
        <w:t>供应商须知</w:t>
      </w:r>
    </w:p>
    <w:p>
      <w:pPr>
        <w:pStyle w:val="4"/>
        <w:tabs>
          <w:tab w:val="center" w:pos="4592"/>
          <w:tab w:val="left" w:pos="7860"/>
        </w:tabs>
        <w:spacing w:before="0" w:line="360" w:lineRule="auto"/>
        <w:jc w:val="left"/>
        <w:rPr>
          <w:rFonts w:ascii="Times New Roman" w:hAnsi="Times New Roman" w:eastAsia="宋体"/>
          <w:sz w:val="28"/>
          <w:highlight w:val="none"/>
        </w:rPr>
      </w:pPr>
      <w:bookmarkStart w:id="88" w:name="_Toc520356143"/>
      <w:bookmarkStart w:id="89" w:name="_Toc127151518"/>
      <w:r>
        <w:rPr>
          <w:rFonts w:ascii="Times New Roman" w:hAnsi="Times New Roman" w:eastAsia="宋体"/>
          <w:sz w:val="28"/>
          <w:highlight w:val="none"/>
        </w:rPr>
        <w:tab/>
      </w:r>
      <w:bookmarkStart w:id="90" w:name="_Toc226309762"/>
      <w:bookmarkStart w:id="91" w:name="_Toc226965708"/>
      <w:bookmarkStart w:id="92" w:name="_Toc150774618"/>
      <w:bookmarkStart w:id="93" w:name="_Toc151193760"/>
      <w:bookmarkStart w:id="94" w:name="_Toc142311020"/>
      <w:bookmarkStart w:id="95" w:name="_Toc305158786"/>
      <w:bookmarkStart w:id="96" w:name="_Toc151193616"/>
      <w:bookmarkStart w:id="97" w:name="_Toc151193832"/>
      <w:bookmarkStart w:id="98" w:name="_Toc265228356"/>
      <w:bookmarkStart w:id="99" w:name="_Toc150774723"/>
      <w:bookmarkStart w:id="100" w:name="_Toc151193906"/>
      <w:bookmarkStart w:id="101" w:name="_Toc195842883"/>
      <w:bookmarkStart w:id="102" w:name="_Toc151190145"/>
      <w:bookmarkStart w:id="103" w:name="_Toc150480756"/>
      <w:bookmarkStart w:id="104" w:name="_Toc226337214"/>
      <w:bookmarkStart w:id="105" w:name="_Toc226965791"/>
      <w:bookmarkStart w:id="106" w:name="_Toc305158860"/>
      <w:bookmarkStart w:id="107" w:name="_Toc151193688"/>
      <w:bookmarkStart w:id="108" w:name="_Toc264969208"/>
      <w:bookmarkStart w:id="109" w:name="_Toc150509269"/>
      <w:r>
        <w:rPr>
          <w:rFonts w:ascii="Times New Roman" w:hAnsi="Times New Roman" w:eastAsia="宋体"/>
          <w:sz w:val="28"/>
          <w:highlight w:val="none"/>
        </w:rPr>
        <w:t>一</w:t>
      </w:r>
      <w:r>
        <w:rPr>
          <w:rFonts w:hint="eastAsia" w:ascii="Times New Roman" w:hAnsi="Times New Roman" w:eastAsia="宋体"/>
          <w:sz w:val="28"/>
          <w:highlight w:val="none"/>
          <w:lang w:val="en-US" w:eastAsia="zh-CN"/>
        </w:rPr>
        <w:t xml:space="preserve"> </w:t>
      </w:r>
      <w:r>
        <w:rPr>
          <w:rFonts w:ascii="Times New Roman" w:hAnsi="Times New Roman" w:eastAsia="宋体"/>
          <w:sz w:val="28"/>
          <w:highlight w:val="none"/>
        </w:rPr>
        <w:t>说明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highlight w:val="none"/>
        </w:rPr>
        <w:tab/>
      </w:r>
    </w:p>
    <w:p>
      <w:pPr>
        <w:numPr>
          <w:ilvl w:val="0"/>
          <w:numId w:val="11"/>
        </w:numPr>
        <w:tabs>
          <w:tab w:val="left" w:pos="360"/>
          <w:tab w:val="clear" w:pos="900"/>
        </w:tabs>
        <w:snapToGrid w:val="0"/>
        <w:spacing w:line="360" w:lineRule="auto"/>
        <w:ind w:left="357" w:hanging="357"/>
        <w:outlineLvl w:val="1"/>
        <w:rPr>
          <w:b/>
          <w:bCs/>
          <w:sz w:val="24"/>
          <w:highlight w:val="none"/>
        </w:rPr>
      </w:pPr>
      <w:bookmarkStart w:id="110" w:name="_Toc265228357"/>
      <w:bookmarkStart w:id="111" w:name="_Toc264969209"/>
      <w:bookmarkStart w:id="112" w:name="_Toc305158861"/>
      <w:bookmarkStart w:id="113" w:name="_Toc305158787"/>
      <w:r>
        <w:rPr>
          <w:rFonts w:hint="eastAsia"/>
          <w:b/>
          <w:bCs/>
          <w:sz w:val="24"/>
          <w:highlight w:val="none"/>
          <w:lang w:eastAsia="zh-CN"/>
        </w:rPr>
        <w:t>采购人</w:t>
      </w:r>
      <w:r>
        <w:rPr>
          <w:b/>
          <w:bCs/>
          <w:sz w:val="24"/>
          <w:highlight w:val="none"/>
        </w:rPr>
        <w:t>、采购代理机构、供应商</w:t>
      </w:r>
      <w:bookmarkEnd w:id="110"/>
      <w:bookmarkEnd w:id="111"/>
      <w:bookmarkEnd w:id="112"/>
      <w:bookmarkEnd w:id="113"/>
      <w:r>
        <w:rPr>
          <w:b/>
          <w:bCs/>
          <w:sz w:val="24"/>
          <w:highlight w:val="none"/>
        </w:rPr>
        <w:t>、联合体</w:t>
      </w:r>
    </w:p>
    <w:p>
      <w:pPr>
        <w:tabs>
          <w:tab w:val="left" w:pos="1080"/>
          <w:tab w:val="left" w:pos="1589"/>
          <w:tab w:val="left" w:pos="2014"/>
          <w:tab w:val="left" w:pos="5521"/>
        </w:tabs>
        <w:snapToGrid w:val="0"/>
        <w:spacing w:line="360" w:lineRule="auto"/>
        <w:ind w:firstLine="480" w:firstLineChars="200"/>
        <w:rPr>
          <w:sz w:val="24"/>
          <w:highlight w:val="none"/>
        </w:rPr>
      </w:pPr>
      <w:r>
        <w:rPr>
          <w:rFonts w:hint="eastAsia"/>
          <w:sz w:val="24"/>
          <w:highlight w:val="none"/>
        </w:rPr>
        <w:t>1</w:t>
      </w:r>
      <w:r>
        <w:rPr>
          <w:sz w:val="24"/>
          <w:highlight w:val="none"/>
        </w:rPr>
        <w:t>.1</w:t>
      </w:r>
      <w:r>
        <w:rPr>
          <w:rFonts w:hint="eastAsia"/>
          <w:sz w:val="24"/>
          <w:highlight w:val="none"/>
          <w:lang w:eastAsia="zh-CN"/>
        </w:rPr>
        <w:t>采购人</w:t>
      </w:r>
      <w:r>
        <w:rPr>
          <w:sz w:val="24"/>
          <w:highlight w:val="none"/>
        </w:rPr>
        <w:t>、采购代理机构：指依法进行政府采购的国家机关、事业单位、团体组织，及其委托的采购代理机构。本项目</w:t>
      </w:r>
      <w:r>
        <w:rPr>
          <w:rFonts w:hint="eastAsia"/>
          <w:sz w:val="24"/>
          <w:highlight w:val="none"/>
          <w:lang w:eastAsia="zh-CN"/>
        </w:rPr>
        <w:t>采购人</w:t>
      </w:r>
      <w:r>
        <w:rPr>
          <w:sz w:val="24"/>
          <w:highlight w:val="none"/>
        </w:rPr>
        <w:t>、采购代理机构见第一章《</w:t>
      </w:r>
      <w:r>
        <w:rPr>
          <w:rFonts w:hint="eastAsia"/>
          <w:sz w:val="24"/>
          <w:highlight w:val="none"/>
        </w:rPr>
        <w:t>竞争性磋商公告</w:t>
      </w:r>
      <w:r>
        <w:rPr>
          <w:sz w:val="24"/>
          <w:highlight w:val="none"/>
        </w:rPr>
        <w:t>》。</w:t>
      </w:r>
    </w:p>
    <w:p>
      <w:pPr>
        <w:tabs>
          <w:tab w:val="left" w:pos="1080"/>
          <w:tab w:val="left" w:pos="1589"/>
          <w:tab w:val="left" w:pos="2014"/>
          <w:tab w:val="left" w:pos="5521"/>
        </w:tabs>
        <w:snapToGrid w:val="0"/>
        <w:spacing w:line="360" w:lineRule="auto"/>
        <w:ind w:firstLine="480" w:firstLineChars="200"/>
        <w:rPr>
          <w:sz w:val="24"/>
          <w:highlight w:val="none"/>
        </w:rPr>
      </w:pPr>
      <w:r>
        <w:rPr>
          <w:rFonts w:hint="eastAsia"/>
          <w:sz w:val="24"/>
          <w:highlight w:val="none"/>
        </w:rPr>
        <w:t>1</w:t>
      </w:r>
      <w:r>
        <w:rPr>
          <w:sz w:val="24"/>
          <w:highlight w:val="none"/>
        </w:rPr>
        <w:t>.2供应商（也称“申请人”）：指向</w:t>
      </w:r>
      <w:r>
        <w:rPr>
          <w:rFonts w:hint="eastAsia"/>
          <w:sz w:val="24"/>
          <w:highlight w:val="none"/>
          <w:lang w:eastAsia="zh-CN"/>
        </w:rPr>
        <w:t>采购人</w:t>
      </w:r>
      <w:r>
        <w:rPr>
          <w:sz w:val="24"/>
          <w:highlight w:val="none"/>
        </w:rPr>
        <w:t>提供货物、工程或者服务的法人、其他组织或者自然人。</w:t>
      </w:r>
    </w:p>
    <w:p>
      <w:pPr>
        <w:tabs>
          <w:tab w:val="left" w:pos="1080"/>
          <w:tab w:val="left" w:pos="1589"/>
          <w:tab w:val="left" w:pos="2014"/>
          <w:tab w:val="left" w:pos="5521"/>
        </w:tabs>
        <w:snapToGrid w:val="0"/>
        <w:spacing w:line="360" w:lineRule="auto"/>
        <w:ind w:firstLine="480" w:firstLineChars="200"/>
        <w:rPr>
          <w:sz w:val="24"/>
          <w:highlight w:val="none"/>
        </w:rPr>
      </w:pPr>
      <w:r>
        <w:rPr>
          <w:sz w:val="24"/>
          <w:highlight w:val="none"/>
        </w:rPr>
        <w:t>1.3联合体：指两个以上的自然人、法人或者其他组织组成一个联合体，以一个供应商的身份共同参加政府采购。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0" w:firstLine="0"/>
        <w:outlineLvl w:val="1"/>
        <w:rPr>
          <w:b/>
          <w:bCs/>
          <w:sz w:val="24"/>
          <w:highlight w:val="none"/>
        </w:rPr>
      </w:pPr>
      <w:bookmarkStart w:id="114" w:name="_Toc127151721"/>
      <w:bookmarkStart w:id="115" w:name="_Toc151190147"/>
      <w:bookmarkStart w:id="116" w:name="_Toc226965793"/>
      <w:bookmarkStart w:id="117" w:name="_Toc150509271"/>
      <w:bookmarkStart w:id="118" w:name="_Toc164608634"/>
      <w:bookmarkStart w:id="119" w:name="_Toc142311022"/>
      <w:bookmarkStart w:id="120" w:name="_Toc127161434"/>
      <w:bookmarkStart w:id="121" w:name="_Toc226337216"/>
      <w:bookmarkStart w:id="122" w:name="_Toc164608789"/>
      <w:bookmarkStart w:id="123" w:name="_Toc226309764"/>
      <w:bookmarkStart w:id="124" w:name="_Toc164229361"/>
      <w:bookmarkStart w:id="125" w:name="_Toc150480758"/>
      <w:bookmarkStart w:id="126" w:name="_Toc164351614"/>
      <w:bookmarkStart w:id="127" w:name="_Toc264969210"/>
      <w:bookmarkStart w:id="128" w:name="_Toc150774620"/>
      <w:bookmarkStart w:id="129" w:name="_Toc127151520"/>
      <w:bookmarkStart w:id="130" w:name="_Toc151193762"/>
      <w:bookmarkStart w:id="131" w:name="_Toc226965710"/>
      <w:bookmarkStart w:id="132" w:name="_Toc151193834"/>
      <w:bookmarkStart w:id="133" w:name="_Toc151193908"/>
      <w:bookmarkStart w:id="134" w:name="_Toc195842885"/>
      <w:bookmarkStart w:id="135" w:name="_Toc151193690"/>
      <w:bookmarkStart w:id="136" w:name="_Toc151193618"/>
      <w:bookmarkStart w:id="137" w:name="_Toc164229215"/>
      <w:bookmarkStart w:id="138" w:name="_Toc305158788"/>
      <w:bookmarkStart w:id="139" w:name="_Toc150774725"/>
      <w:bookmarkStart w:id="140" w:name="_Toc265228358"/>
      <w:bookmarkStart w:id="141" w:name="_Toc305158862"/>
      <w:bookmarkStart w:id="142" w:name="_Toc149720813"/>
      <w:r>
        <w:rPr>
          <w:b/>
          <w:bCs/>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b/>
          <w:bCs/>
          <w:sz w:val="24"/>
          <w:highlight w:val="none"/>
        </w:rPr>
        <w:t>、项目属性、科研仪器设备采购</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.1资金来源为</w:t>
      </w:r>
      <w:r>
        <w:rPr>
          <w:rFonts w:hint="eastAsia"/>
          <w:sz w:val="24"/>
          <w:highlight w:val="none"/>
          <w:lang w:val="en-US" w:eastAsia="zh-CN"/>
        </w:rPr>
        <w:t>自筹</w:t>
      </w:r>
      <w:r>
        <w:rPr>
          <w:sz w:val="24"/>
          <w:highlight w:val="none"/>
        </w:rPr>
        <w:t>。</w:t>
      </w:r>
    </w:p>
    <w:p>
      <w:pPr>
        <w:tabs>
          <w:tab w:val="left" w:pos="1080"/>
          <w:tab w:val="left" w:pos="1589"/>
          <w:tab w:val="left" w:pos="2014"/>
        </w:tabs>
        <w:snapToGrid w:val="0"/>
        <w:spacing w:line="360" w:lineRule="auto"/>
        <w:ind w:firstLine="480" w:firstLineChars="200"/>
        <w:rPr>
          <w:sz w:val="24"/>
          <w:highlight w:val="none"/>
        </w:rPr>
      </w:pPr>
      <w:r>
        <w:rPr>
          <w:sz w:val="24"/>
          <w:highlight w:val="none"/>
        </w:rPr>
        <w:t>2.2项目属性见《供应商须知资料表》。</w:t>
      </w:r>
    </w:p>
    <w:p>
      <w:pPr>
        <w:tabs>
          <w:tab w:val="left" w:pos="1080"/>
          <w:tab w:val="left" w:pos="1589"/>
          <w:tab w:val="left" w:pos="2014"/>
        </w:tabs>
        <w:snapToGrid w:val="0"/>
        <w:spacing w:line="360" w:lineRule="auto"/>
        <w:ind w:firstLine="480" w:firstLineChars="200"/>
        <w:rPr>
          <w:sz w:val="24"/>
          <w:highlight w:val="none"/>
        </w:rPr>
      </w:pPr>
      <w:r>
        <w:rPr>
          <w:sz w:val="24"/>
          <w:highlight w:val="none"/>
        </w:rPr>
        <w:t>2.3是否属于科研仪器设备采购见《供应商须知资料表》。</w:t>
      </w:r>
    </w:p>
    <w:p>
      <w:pPr>
        <w:numPr>
          <w:ilvl w:val="0"/>
          <w:numId w:val="11"/>
        </w:numPr>
        <w:tabs>
          <w:tab w:val="left" w:pos="360"/>
        </w:tabs>
        <w:snapToGrid w:val="0"/>
        <w:spacing w:line="360" w:lineRule="auto"/>
        <w:ind w:left="0" w:firstLine="0"/>
        <w:outlineLvl w:val="1"/>
        <w:rPr>
          <w:b/>
          <w:bCs/>
          <w:sz w:val="24"/>
          <w:highlight w:val="none"/>
        </w:rPr>
      </w:pPr>
      <w:r>
        <w:rPr>
          <w:b/>
          <w:bCs/>
          <w:sz w:val="24"/>
          <w:highlight w:val="none"/>
        </w:rPr>
        <w:t>现场考察、磋商前答疑会</w:t>
      </w:r>
    </w:p>
    <w:p>
      <w:pPr>
        <w:tabs>
          <w:tab w:val="left" w:pos="1080"/>
          <w:tab w:val="left" w:pos="1589"/>
          <w:tab w:val="left" w:pos="2014"/>
        </w:tabs>
        <w:snapToGrid w:val="0"/>
        <w:spacing w:line="360" w:lineRule="auto"/>
        <w:ind w:firstLine="480" w:firstLineChars="200"/>
        <w:rPr>
          <w:sz w:val="28"/>
          <w:highlight w:val="none"/>
        </w:rPr>
      </w:pPr>
      <w:r>
        <w:rPr>
          <w:rFonts w:hint="eastAsia"/>
          <w:sz w:val="24"/>
          <w:highlight w:val="none"/>
        </w:rPr>
        <w:t>3</w:t>
      </w:r>
      <w:r>
        <w:rPr>
          <w:sz w:val="24"/>
          <w:highlight w:val="none"/>
        </w:rPr>
        <w:t>.1若《供应商须知资料表》中规定了组织现场考察、召开磋商前答疑会，则供应商应按要求在规定的时间和地点参加。</w:t>
      </w:r>
      <w:bookmarkStart w:id="143" w:name="_Toc142311024"/>
      <w:bookmarkStart w:id="144" w:name="_Toc226965712"/>
      <w:bookmarkStart w:id="145" w:name="_Toc151193692"/>
      <w:bookmarkStart w:id="146" w:name="_Toc151190149"/>
      <w:bookmarkStart w:id="147" w:name="_Toc150480760"/>
      <w:bookmarkStart w:id="148" w:name="_Toc151193910"/>
      <w:bookmarkStart w:id="149" w:name="_Toc305158790"/>
      <w:bookmarkStart w:id="150" w:name="_Toc150774727"/>
      <w:bookmarkStart w:id="151" w:name="_Toc226965795"/>
      <w:bookmarkStart w:id="152" w:name="_Toc226309766"/>
      <w:bookmarkStart w:id="153" w:name="_Toc264969212"/>
      <w:bookmarkStart w:id="154" w:name="_Toc150509273"/>
      <w:bookmarkStart w:id="155" w:name="_Toc127151522"/>
      <w:bookmarkStart w:id="156" w:name="_Toc195842887"/>
      <w:bookmarkStart w:id="157" w:name="_Toc151193620"/>
      <w:bookmarkStart w:id="158" w:name="_Toc520356146"/>
      <w:bookmarkStart w:id="159" w:name="_Toc150774622"/>
      <w:bookmarkStart w:id="160" w:name="_Toc151193836"/>
      <w:bookmarkStart w:id="161" w:name="_Toc151193764"/>
      <w:bookmarkStart w:id="162" w:name="_Toc265228360"/>
      <w:bookmarkStart w:id="163" w:name="_Toc226337218"/>
      <w:bookmarkStart w:id="164" w:name="_Toc305158864"/>
    </w:p>
    <w:p>
      <w:pPr>
        <w:tabs>
          <w:tab w:val="left" w:pos="1080"/>
          <w:tab w:val="left" w:pos="1589"/>
          <w:tab w:val="left" w:pos="2014"/>
        </w:tabs>
        <w:snapToGrid w:val="0"/>
        <w:spacing w:line="360" w:lineRule="auto"/>
        <w:ind w:firstLine="480" w:firstLineChars="200"/>
        <w:rPr>
          <w:sz w:val="24"/>
          <w:highlight w:val="none"/>
        </w:rPr>
      </w:pPr>
      <w:r>
        <w:rPr>
          <w:sz w:val="24"/>
          <w:highlight w:val="none"/>
        </w:rPr>
        <w:t>3.2由于未参加现场考察或磋商前答疑会而导致对项目实际情况不了解，影响响应文件编制、报价准确性、综合因素响应不全面等问题的，由供应商自行承担不利评审后果。</w:t>
      </w:r>
    </w:p>
    <w:p>
      <w:pPr>
        <w:numPr>
          <w:ilvl w:val="0"/>
          <w:numId w:val="11"/>
        </w:numPr>
        <w:tabs>
          <w:tab w:val="left" w:pos="360"/>
          <w:tab w:val="clear" w:pos="900"/>
        </w:tabs>
        <w:snapToGrid w:val="0"/>
        <w:spacing w:line="360" w:lineRule="auto"/>
        <w:ind w:left="0" w:firstLine="0"/>
        <w:outlineLvl w:val="1"/>
        <w:rPr>
          <w:b/>
          <w:bCs/>
          <w:sz w:val="24"/>
          <w:highlight w:val="none"/>
        </w:rPr>
      </w:pPr>
      <w:r>
        <w:rPr>
          <w:b/>
          <w:bCs/>
          <w:sz w:val="24"/>
          <w:highlight w:val="none"/>
        </w:rPr>
        <w:t>政府采购政策（包括但不限于下列具体政策要求）</w:t>
      </w:r>
    </w:p>
    <w:p>
      <w:pPr>
        <w:tabs>
          <w:tab w:val="left" w:pos="1080"/>
          <w:tab w:val="left" w:pos="1589"/>
          <w:tab w:val="left" w:pos="2014"/>
        </w:tabs>
        <w:snapToGrid w:val="0"/>
        <w:spacing w:line="360" w:lineRule="auto"/>
        <w:ind w:firstLine="480" w:firstLineChars="200"/>
        <w:rPr>
          <w:rFonts w:hint="eastAsia" w:eastAsia="宋体"/>
          <w:sz w:val="24"/>
          <w:highlight w:val="none"/>
          <w:lang w:eastAsia="zh-CN"/>
        </w:rPr>
      </w:pPr>
      <w:r>
        <w:rPr>
          <w:rFonts w:hint="eastAsia"/>
          <w:sz w:val="24"/>
          <w:highlight w:val="none"/>
        </w:rPr>
        <w:t>4</w:t>
      </w:r>
      <w:r>
        <w:rPr>
          <w:sz w:val="24"/>
          <w:highlight w:val="none"/>
        </w:rPr>
        <w:t>.1进口产品</w:t>
      </w:r>
      <w:r>
        <w:rPr>
          <w:rFonts w:hint="eastAsia"/>
          <w:sz w:val="24"/>
          <w:highlight w:val="none"/>
          <w:lang w:eastAsia="zh-CN"/>
        </w:rPr>
        <w:t>（</w:t>
      </w:r>
      <w:r>
        <w:rPr>
          <w:rFonts w:hint="eastAsia"/>
          <w:sz w:val="24"/>
          <w:highlight w:val="none"/>
          <w:lang w:val="en-US" w:eastAsia="zh-CN"/>
        </w:rPr>
        <w:t>本项目不涉及</w:t>
      </w:r>
      <w:r>
        <w:rPr>
          <w:rFonts w:hint="eastAsia"/>
          <w:sz w:val="24"/>
          <w:highlight w:val="none"/>
          <w:lang w:eastAsia="zh-CN"/>
        </w:rPr>
        <w:t>）</w:t>
      </w:r>
    </w:p>
    <w:p>
      <w:pPr>
        <w:tabs>
          <w:tab w:val="left" w:pos="1980"/>
          <w:tab w:val="left" w:pos="2014"/>
        </w:tabs>
        <w:snapToGrid w:val="0"/>
        <w:spacing w:line="360" w:lineRule="auto"/>
        <w:ind w:firstLine="480" w:firstLineChars="200"/>
        <w:rPr>
          <w:sz w:val="24"/>
          <w:highlight w:val="none"/>
        </w:rPr>
      </w:pPr>
      <w:r>
        <w:rPr>
          <w:rFonts w:hint="eastAsia"/>
          <w:sz w:val="24"/>
          <w:highlight w:val="none"/>
        </w:rPr>
        <w:t>4</w:t>
      </w:r>
      <w:r>
        <w:rPr>
          <w:sz w:val="24"/>
          <w:highlight w:val="none"/>
        </w:rPr>
        <w:t>.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0"/>
          <w:numId w:val="11"/>
        </w:numPr>
        <w:tabs>
          <w:tab w:val="left" w:pos="360"/>
        </w:tabs>
        <w:snapToGrid w:val="0"/>
        <w:spacing w:line="360" w:lineRule="auto"/>
        <w:ind w:left="0" w:firstLine="0"/>
        <w:outlineLvl w:val="1"/>
        <w:rPr>
          <w:b/>
          <w:bCs/>
          <w:sz w:val="24"/>
          <w:highlight w:val="none"/>
        </w:rPr>
      </w:pPr>
      <w:r>
        <w:rPr>
          <w:b/>
          <w:bCs/>
          <w:sz w:val="24"/>
          <w:highlight w:val="none"/>
        </w:rPr>
        <w:t>响应费用</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5</w:t>
      </w:r>
      <w:r>
        <w:rPr>
          <w:sz w:val="24"/>
          <w:highlight w:val="none"/>
        </w:rPr>
        <w:t>.1供应商应自行承担所有与准备和参加磋商有关的费用，无论磋商的结果如何，</w:t>
      </w:r>
      <w:r>
        <w:rPr>
          <w:rFonts w:hint="eastAsia"/>
          <w:sz w:val="24"/>
          <w:highlight w:val="none"/>
          <w:lang w:eastAsia="zh-CN"/>
        </w:rPr>
        <w:t>采购人</w:t>
      </w:r>
      <w:r>
        <w:rPr>
          <w:sz w:val="24"/>
          <w:highlight w:val="none"/>
        </w:rPr>
        <w:t>或采购代理机构在任何情况下均无承担这些费用的义务和责任。</w:t>
      </w:r>
    </w:p>
    <w:p>
      <w:pPr>
        <w:tabs>
          <w:tab w:val="left" w:pos="1080"/>
        </w:tabs>
        <w:snapToGrid w:val="0"/>
        <w:spacing w:line="360" w:lineRule="auto"/>
        <w:ind w:left="1080"/>
        <w:rPr>
          <w:sz w:val="28"/>
          <w:highlight w:val="none"/>
        </w:rPr>
      </w:pPr>
      <w:bookmarkStart w:id="165" w:name="_1.8_计量单位"/>
      <w:bookmarkEnd w:id="165"/>
    </w:p>
    <w:p>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二</w:t>
      </w:r>
      <w:r>
        <w:rPr>
          <w:rFonts w:hint="eastAsia" w:ascii="Times New Roman" w:hAnsi="Times New Roman" w:eastAsia="宋体"/>
          <w:sz w:val="28"/>
          <w:highlight w:val="none"/>
          <w:lang w:val="en-US" w:eastAsia="zh-CN"/>
        </w:rPr>
        <w:t xml:space="preserve"> </w:t>
      </w:r>
      <w:r>
        <w:rPr>
          <w:rFonts w:ascii="Times New Roman" w:hAnsi="Times New Roman" w:eastAsia="宋体"/>
          <w:sz w:val="28"/>
          <w:highlight w:val="none"/>
        </w:rPr>
        <w:t>竞争性磋商文件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numPr>
          <w:ilvl w:val="0"/>
          <w:numId w:val="11"/>
        </w:numPr>
        <w:tabs>
          <w:tab w:val="left" w:pos="360"/>
        </w:tabs>
        <w:snapToGrid w:val="0"/>
        <w:spacing w:line="360" w:lineRule="auto"/>
        <w:ind w:left="357" w:hanging="357"/>
        <w:outlineLvl w:val="1"/>
        <w:rPr>
          <w:b/>
          <w:bCs/>
          <w:sz w:val="24"/>
          <w:highlight w:val="none"/>
        </w:rPr>
      </w:pPr>
      <w:bookmarkStart w:id="166" w:name="_Toc151193765"/>
      <w:bookmarkStart w:id="167" w:name="_Toc265228361"/>
      <w:bookmarkStart w:id="168" w:name="_Toc195842888"/>
      <w:bookmarkStart w:id="169" w:name="_Toc150774728"/>
      <w:bookmarkStart w:id="170" w:name="_Toc164608637"/>
      <w:bookmarkStart w:id="171" w:name="_Toc127161437"/>
      <w:bookmarkStart w:id="172" w:name="_Toc142311025"/>
      <w:bookmarkStart w:id="173" w:name="_Toc151193837"/>
      <w:bookmarkStart w:id="174" w:name="_Toc150480761"/>
      <w:bookmarkStart w:id="175" w:name="_Toc226965713"/>
      <w:bookmarkStart w:id="176" w:name="_Toc164229364"/>
      <w:bookmarkStart w:id="177" w:name="_Toc151193693"/>
      <w:bookmarkStart w:id="178" w:name="_Toc127151724"/>
      <w:bookmarkStart w:id="179" w:name="_Toc151193621"/>
      <w:bookmarkStart w:id="180" w:name="_Toc264969213"/>
      <w:bookmarkStart w:id="181" w:name="_Toc164608792"/>
      <w:bookmarkStart w:id="182" w:name="_Toc164351617"/>
      <w:bookmarkStart w:id="183" w:name="_Toc305158865"/>
      <w:bookmarkStart w:id="184" w:name="_Toc305158791"/>
      <w:bookmarkStart w:id="185" w:name="_Toc127151523"/>
      <w:bookmarkStart w:id="186" w:name="_Toc226965796"/>
      <w:bookmarkStart w:id="187" w:name="_Toc149720816"/>
      <w:bookmarkStart w:id="188" w:name="_Toc151193911"/>
      <w:bookmarkStart w:id="189" w:name="_Toc151190150"/>
      <w:bookmarkStart w:id="190" w:name="_Toc164229218"/>
      <w:bookmarkStart w:id="191" w:name="_Toc226309767"/>
      <w:bookmarkStart w:id="192" w:name="_Toc150774623"/>
      <w:bookmarkStart w:id="193" w:name="_Toc226337219"/>
      <w:bookmarkStart w:id="194" w:name="_Toc150509274"/>
      <w:bookmarkStart w:id="195" w:name="_Toc520356147"/>
      <w:r>
        <w:rPr>
          <w:b/>
          <w:bCs/>
          <w:sz w:val="24"/>
          <w:highlight w:val="none"/>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b/>
          <w:bCs/>
          <w:sz w:val="24"/>
          <w:highlight w:val="none"/>
        </w:rPr>
        <w:t>成</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6</w:t>
      </w:r>
      <w:r>
        <w:rPr>
          <w:sz w:val="24"/>
          <w:highlight w:val="none"/>
        </w:rPr>
        <w:t>.1竞争性磋商文件包括以下部分：</w:t>
      </w:r>
    </w:p>
    <w:p>
      <w:pPr>
        <w:numPr>
          <w:ilvl w:val="0"/>
          <w:numId w:val="12"/>
        </w:numPr>
        <w:tabs>
          <w:tab w:val="left" w:pos="1980"/>
          <w:tab w:val="left" w:pos="2520"/>
        </w:tabs>
        <w:snapToGrid w:val="0"/>
        <w:spacing w:line="360" w:lineRule="auto"/>
        <w:ind w:left="1440" w:firstLine="5"/>
        <w:rPr>
          <w:sz w:val="24"/>
          <w:highlight w:val="none"/>
        </w:rPr>
      </w:pPr>
      <w:r>
        <w:rPr>
          <w:rFonts w:hint="eastAsia"/>
          <w:sz w:val="24"/>
          <w:highlight w:val="none"/>
        </w:rPr>
        <w:t>竞争性磋商公告</w:t>
      </w:r>
    </w:p>
    <w:p>
      <w:pPr>
        <w:numPr>
          <w:ilvl w:val="0"/>
          <w:numId w:val="12"/>
        </w:numPr>
        <w:tabs>
          <w:tab w:val="left" w:pos="1980"/>
          <w:tab w:val="left" w:pos="2520"/>
        </w:tabs>
        <w:snapToGrid w:val="0"/>
        <w:spacing w:line="360" w:lineRule="auto"/>
        <w:ind w:left="1440" w:firstLine="5"/>
        <w:rPr>
          <w:sz w:val="24"/>
          <w:highlight w:val="none"/>
        </w:rPr>
      </w:pPr>
      <w:r>
        <w:rPr>
          <w:sz w:val="24"/>
          <w:highlight w:val="none"/>
        </w:rPr>
        <w:t>供应商须知</w:t>
      </w:r>
    </w:p>
    <w:p>
      <w:pPr>
        <w:numPr>
          <w:ilvl w:val="0"/>
          <w:numId w:val="12"/>
        </w:numPr>
        <w:tabs>
          <w:tab w:val="left" w:pos="1980"/>
          <w:tab w:val="left" w:pos="2520"/>
        </w:tabs>
        <w:snapToGrid w:val="0"/>
        <w:spacing w:line="360" w:lineRule="auto"/>
        <w:ind w:left="1440" w:firstLine="5"/>
        <w:rPr>
          <w:sz w:val="24"/>
          <w:highlight w:val="none"/>
        </w:rPr>
      </w:pPr>
      <w:r>
        <w:rPr>
          <w:sz w:val="24"/>
          <w:highlight w:val="none"/>
        </w:rPr>
        <w:t>评审</w:t>
      </w:r>
      <w:r>
        <w:rPr>
          <w:rFonts w:hint="eastAsia"/>
          <w:sz w:val="24"/>
          <w:highlight w:val="none"/>
        </w:rPr>
        <w:t>程序、评审</w:t>
      </w:r>
      <w:r>
        <w:rPr>
          <w:sz w:val="24"/>
          <w:highlight w:val="none"/>
        </w:rPr>
        <w:t>方法和评审标准</w:t>
      </w:r>
    </w:p>
    <w:p>
      <w:pPr>
        <w:numPr>
          <w:ilvl w:val="0"/>
          <w:numId w:val="12"/>
        </w:numPr>
        <w:tabs>
          <w:tab w:val="left" w:pos="1980"/>
          <w:tab w:val="left" w:pos="2520"/>
        </w:tabs>
        <w:snapToGrid w:val="0"/>
        <w:spacing w:line="360" w:lineRule="auto"/>
        <w:ind w:left="1440" w:firstLine="5"/>
        <w:rPr>
          <w:sz w:val="24"/>
          <w:highlight w:val="none"/>
        </w:rPr>
      </w:pPr>
      <w:r>
        <w:rPr>
          <w:sz w:val="24"/>
          <w:highlight w:val="none"/>
        </w:rPr>
        <w:t>采购需求</w:t>
      </w:r>
    </w:p>
    <w:p>
      <w:pPr>
        <w:numPr>
          <w:ilvl w:val="0"/>
          <w:numId w:val="12"/>
        </w:numPr>
        <w:tabs>
          <w:tab w:val="left" w:pos="1980"/>
          <w:tab w:val="left" w:pos="2520"/>
        </w:tabs>
        <w:snapToGrid w:val="0"/>
        <w:spacing w:line="360" w:lineRule="auto"/>
        <w:ind w:left="1440" w:firstLine="5"/>
        <w:rPr>
          <w:sz w:val="24"/>
          <w:highlight w:val="none"/>
        </w:rPr>
      </w:pPr>
      <w:r>
        <w:rPr>
          <w:sz w:val="24"/>
          <w:highlight w:val="none"/>
        </w:rPr>
        <w:t>合同草案条款</w:t>
      </w:r>
    </w:p>
    <w:p>
      <w:pPr>
        <w:numPr>
          <w:ilvl w:val="0"/>
          <w:numId w:val="12"/>
        </w:numPr>
        <w:tabs>
          <w:tab w:val="left" w:pos="1980"/>
          <w:tab w:val="left" w:pos="2520"/>
        </w:tabs>
        <w:snapToGrid w:val="0"/>
        <w:spacing w:line="360" w:lineRule="auto"/>
        <w:ind w:left="1440" w:firstLine="5"/>
        <w:rPr>
          <w:sz w:val="24"/>
          <w:highlight w:val="none"/>
        </w:rPr>
      </w:pPr>
      <w:r>
        <w:rPr>
          <w:sz w:val="24"/>
          <w:highlight w:val="none"/>
        </w:rPr>
        <w:t>响应文件格式</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6</w:t>
      </w:r>
      <w:r>
        <w:rPr>
          <w:sz w:val="24"/>
          <w:highlight w:val="none"/>
        </w:rPr>
        <w:t>.2供应商应认真阅读竞争性磋商文件的全部内容。供应商应按照竞争性磋商文件要求提交响应文件并保证所提供的全部资料的真实性，并对竞争性磋商文件做出实质性响应，否则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pPr>
        <w:tabs>
          <w:tab w:val="left" w:pos="1080"/>
          <w:tab w:val="left" w:pos="2014"/>
        </w:tabs>
        <w:snapToGrid w:val="0"/>
        <w:spacing w:line="360" w:lineRule="auto"/>
        <w:outlineLvl w:val="1"/>
        <w:rPr>
          <w:b/>
          <w:bCs/>
          <w:sz w:val="24"/>
          <w:highlight w:val="none"/>
        </w:rPr>
      </w:pPr>
      <w:r>
        <w:rPr>
          <w:rFonts w:hint="eastAsia"/>
          <w:b/>
          <w:bCs/>
          <w:sz w:val="24"/>
          <w:highlight w:val="none"/>
        </w:rPr>
        <w:t>7</w:t>
      </w:r>
      <w:r>
        <w:rPr>
          <w:b/>
          <w:bCs/>
          <w:sz w:val="24"/>
          <w:highlight w:val="none"/>
        </w:rPr>
        <w:t>对竞争性磋商文件的澄清或修改</w:t>
      </w:r>
    </w:p>
    <w:p>
      <w:pPr>
        <w:tabs>
          <w:tab w:val="left" w:pos="1080"/>
          <w:tab w:val="left" w:pos="1561"/>
          <w:tab w:val="left" w:pos="1589"/>
          <w:tab w:val="left" w:pos="2014"/>
        </w:tabs>
        <w:snapToGrid w:val="0"/>
        <w:spacing w:line="360" w:lineRule="auto"/>
        <w:ind w:firstLine="480" w:firstLineChars="200"/>
        <w:rPr>
          <w:sz w:val="24"/>
          <w:highlight w:val="none"/>
        </w:rPr>
      </w:pPr>
      <w:r>
        <w:rPr>
          <w:sz w:val="24"/>
          <w:highlight w:val="none"/>
        </w:rPr>
        <w:t>7.1</w:t>
      </w:r>
      <w:r>
        <w:rPr>
          <w:rFonts w:hint="eastAsia"/>
          <w:sz w:val="24"/>
          <w:highlight w:val="none"/>
          <w:lang w:eastAsia="zh-CN"/>
        </w:rPr>
        <w:t>采购人</w:t>
      </w:r>
      <w:r>
        <w:rPr>
          <w:sz w:val="24"/>
          <w:highlight w:val="none"/>
        </w:rPr>
        <w:t>或采购代理机构对已发出的竞争性磋商文件进行必要澄清或者修改的，将在原公告发布媒体上以</w:t>
      </w:r>
      <w:r>
        <w:rPr>
          <w:rFonts w:hint="eastAsia"/>
          <w:sz w:val="24"/>
          <w:highlight w:val="none"/>
        </w:rPr>
        <w:t>发布</w:t>
      </w:r>
      <w:r>
        <w:rPr>
          <w:sz w:val="24"/>
          <w:highlight w:val="none"/>
        </w:rPr>
        <w:t>更正公告</w:t>
      </w:r>
      <w:r>
        <w:rPr>
          <w:rFonts w:hint="eastAsia"/>
          <w:sz w:val="24"/>
          <w:highlight w:val="none"/>
        </w:rPr>
        <w:t>的</w:t>
      </w:r>
      <w:r>
        <w:rPr>
          <w:sz w:val="24"/>
          <w:highlight w:val="none"/>
        </w:rPr>
        <w:t>形式通知所有获取</w:t>
      </w:r>
      <w:r>
        <w:rPr>
          <w:rFonts w:hint="eastAsia"/>
          <w:sz w:val="24"/>
          <w:highlight w:val="none"/>
        </w:rPr>
        <w:t>磋商文件</w:t>
      </w:r>
      <w:r>
        <w:rPr>
          <w:sz w:val="24"/>
          <w:highlight w:val="none"/>
        </w:rPr>
        <w:t>的</w:t>
      </w:r>
      <w:r>
        <w:rPr>
          <w:rFonts w:hint="eastAsia"/>
          <w:sz w:val="24"/>
          <w:highlight w:val="none"/>
        </w:rPr>
        <w:t>供应商。</w:t>
      </w:r>
    </w:p>
    <w:p>
      <w:pPr>
        <w:tabs>
          <w:tab w:val="left" w:pos="1080"/>
          <w:tab w:val="left" w:pos="1561"/>
          <w:tab w:val="left" w:pos="1589"/>
          <w:tab w:val="left" w:pos="2014"/>
        </w:tabs>
        <w:snapToGrid w:val="0"/>
        <w:spacing w:line="360" w:lineRule="auto"/>
        <w:ind w:firstLine="480" w:firstLineChars="200"/>
        <w:rPr>
          <w:sz w:val="24"/>
          <w:highlight w:val="none"/>
        </w:rPr>
      </w:pPr>
      <w:r>
        <w:rPr>
          <w:sz w:val="24"/>
          <w:highlight w:val="none"/>
        </w:rPr>
        <w:t>7.2澄清或者修改的内容为竞争性磋商文件的组成部分，并对所有获取竞争性磋商文件的潜在供应商具有约束力。澄清或者修改的内容可能影响响应文件编制的，将在提交首次响应文件截止之日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highlight w:val="none"/>
        </w:rPr>
        <w:t>5</w:t>
      </w:r>
      <w:r>
        <w:rPr>
          <w:sz w:val="24"/>
          <w:highlight w:val="none"/>
        </w:rPr>
        <w:t>日前</w:t>
      </w:r>
      <w:r>
        <w:rPr>
          <w:rFonts w:hint="eastAsia"/>
          <w:sz w:val="24"/>
          <w:highlight w:val="none"/>
        </w:rPr>
        <w:t>，</w:t>
      </w:r>
      <w:r>
        <w:rPr>
          <w:sz w:val="24"/>
          <w:highlight w:val="none"/>
        </w:rPr>
        <w:t>以更正公告形式通知所有获取</w:t>
      </w:r>
      <w:r>
        <w:rPr>
          <w:rFonts w:hint="eastAsia"/>
          <w:sz w:val="24"/>
          <w:highlight w:val="none"/>
        </w:rPr>
        <w:t>磋商</w:t>
      </w:r>
      <w:r>
        <w:rPr>
          <w:sz w:val="24"/>
          <w:highlight w:val="none"/>
        </w:rPr>
        <w:t>文件的潜在供应商；不足上述时间的，将顺延提交响应文件的截止时间。</w:t>
      </w:r>
    </w:p>
    <w:p>
      <w:pPr>
        <w:tabs>
          <w:tab w:val="left" w:pos="1080"/>
          <w:tab w:val="left" w:pos="1561"/>
        </w:tabs>
        <w:snapToGrid w:val="0"/>
        <w:spacing w:line="360" w:lineRule="auto"/>
        <w:ind w:left="1080"/>
        <w:rPr>
          <w:sz w:val="28"/>
          <w:highlight w:val="none"/>
        </w:rPr>
      </w:pPr>
      <w:bookmarkStart w:id="196" w:name="_Toc516367020"/>
      <w:bookmarkStart w:id="197" w:name="_Toc305158868"/>
      <w:bookmarkStart w:id="198" w:name="_Toc226337222"/>
      <w:bookmarkStart w:id="199" w:name="_Toc151193914"/>
      <w:bookmarkStart w:id="200" w:name="_Toc305158794"/>
      <w:bookmarkStart w:id="201" w:name="_Toc151193624"/>
      <w:bookmarkStart w:id="202" w:name="_Toc150774731"/>
      <w:bookmarkStart w:id="203" w:name="_Toc226309770"/>
      <w:bookmarkStart w:id="204" w:name="_Toc150774626"/>
      <w:bookmarkStart w:id="205" w:name="_Toc151193768"/>
      <w:bookmarkStart w:id="206" w:name="_Toc264969216"/>
      <w:bookmarkStart w:id="207" w:name="_Toc150480764"/>
      <w:bookmarkStart w:id="208" w:name="_Toc265228364"/>
      <w:bookmarkStart w:id="209" w:name="_Toc520356150"/>
      <w:bookmarkStart w:id="210" w:name="_Toc151193840"/>
      <w:bookmarkStart w:id="211" w:name="_Toc142311028"/>
      <w:bookmarkStart w:id="212" w:name="_Toc195842891"/>
      <w:bookmarkStart w:id="213" w:name="_Toc226965799"/>
      <w:bookmarkStart w:id="214" w:name="_Toc226965716"/>
      <w:bookmarkStart w:id="215" w:name="_Toc151190153"/>
      <w:bookmarkStart w:id="216" w:name="_Toc127151526"/>
      <w:bookmarkStart w:id="217" w:name="_Toc151193696"/>
      <w:bookmarkStart w:id="218" w:name="_Toc150509277"/>
    </w:p>
    <w:p>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三</w:t>
      </w:r>
      <w:r>
        <w:rPr>
          <w:rFonts w:hint="eastAsia" w:ascii="Times New Roman" w:hAnsi="Times New Roman" w:eastAsia="宋体"/>
          <w:sz w:val="28"/>
          <w:highlight w:val="none"/>
          <w:lang w:val="en-US" w:eastAsia="zh-CN"/>
        </w:rPr>
        <w:t xml:space="preserve"> </w:t>
      </w:r>
      <w:r>
        <w:rPr>
          <w:rFonts w:ascii="Times New Roman" w:hAnsi="Times New Roman" w:eastAsia="宋体"/>
          <w:sz w:val="28"/>
          <w:highlight w:val="none"/>
        </w:rPr>
        <w:t>响应文件</w:t>
      </w:r>
      <w:bookmarkEnd w:id="196"/>
      <w:r>
        <w:rPr>
          <w:rFonts w:ascii="Times New Roman" w:hAnsi="Times New Roman" w:eastAsia="宋体"/>
          <w:sz w:val="28"/>
          <w:highlight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numPr>
          <w:ilvl w:val="0"/>
          <w:numId w:val="13"/>
        </w:numPr>
        <w:tabs>
          <w:tab w:val="left" w:pos="360"/>
        </w:tabs>
        <w:snapToGrid w:val="0"/>
        <w:spacing w:line="360" w:lineRule="auto"/>
        <w:outlineLvl w:val="1"/>
        <w:rPr>
          <w:b/>
          <w:bCs/>
          <w:sz w:val="24"/>
          <w:highlight w:val="none"/>
        </w:rPr>
      </w:pPr>
      <w:bookmarkStart w:id="219" w:name="_Toc151193841"/>
      <w:bookmarkStart w:id="220" w:name="_Toc164351621"/>
      <w:bookmarkStart w:id="221" w:name="_Toc151193697"/>
      <w:bookmarkStart w:id="222" w:name="_Toc164229222"/>
      <w:bookmarkStart w:id="223" w:name="_Toc305158795"/>
      <w:bookmarkStart w:id="224" w:name="_Toc226337223"/>
      <w:bookmarkStart w:id="225" w:name="_Toc164608641"/>
      <w:bookmarkStart w:id="226" w:name="_Toc164608796"/>
      <w:bookmarkStart w:id="227" w:name="_Toc520356151"/>
      <w:bookmarkStart w:id="228" w:name="_Toc226309771"/>
      <w:bookmarkStart w:id="229" w:name="_Toc151193915"/>
      <w:bookmarkStart w:id="230" w:name="_Toc265228365"/>
      <w:bookmarkStart w:id="231" w:name="_Toc151193625"/>
      <w:bookmarkStart w:id="232" w:name="_Toc516367021"/>
      <w:bookmarkStart w:id="233" w:name="_Toc150774732"/>
      <w:bookmarkStart w:id="234" w:name="_Toc164229368"/>
      <w:bookmarkStart w:id="235" w:name="_Toc226965800"/>
      <w:bookmarkStart w:id="236" w:name="_Toc151190154"/>
      <w:bookmarkStart w:id="237" w:name="_Toc127161441"/>
      <w:bookmarkStart w:id="238" w:name="_Toc127151527"/>
      <w:bookmarkStart w:id="239" w:name="_Toc150774627"/>
      <w:bookmarkStart w:id="240" w:name="_Toc150480765"/>
      <w:bookmarkStart w:id="241" w:name="_Toc195842892"/>
      <w:bookmarkStart w:id="242" w:name="_Toc151193769"/>
      <w:bookmarkStart w:id="243" w:name="_Toc226965717"/>
      <w:bookmarkStart w:id="244" w:name="_Toc149720820"/>
      <w:bookmarkStart w:id="245" w:name="_Toc264969217"/>
      <w:bookmarkStart w:id="246" w:name="_Toc150509278"/>
      <w:bookmarkStart w:id="247" w:name="_Toc127151728"/>
      <w:bookmarkStart w:id="248" w:name="_Toc305158869"/>
      <w:bookmarkStart w:id="249" w:name="_Toc142311029"/>
      <w:r>
        <w:rPr>
          <w:b/>
          <w:bCs/>
          <w:sz w:val="24"/>
          <w:highlight w:val="none"/>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b/>
          <w:bCs/>
          <w:sz w:val="24"/>
          <w:highlight w:val="none"/>
        </w:rPr>
        <w:t>及磋商语言</w:t>
      </w:r>
    </w:p>
    <w:p>
      <w:pPr>
        <w:tabs>
          <w:tab w:val="left" w:pos="1080"/>
          <w:tab w:val="left" w:pos="1589"/>
          <w:tab w:val="left" w:pos="2014"/>
        </w:tabs>
        <w:snapToGrid w:val="0"/>
        <w:spacing w:line="360" w:lineRule="auto"/>
        <w:ind w:firstLine="480" w:firstLineChars="200"/>
        <w:rPr>
          <w:sz w:val="24"/>
          <w:highlight w:val="none"/>
        </w:rPr>
      </w:pPr>
      <w:r>
        <w:rPr>
          <w:sz w:val="24"/>
          <w:highlight w:val="none"/>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highlight w:val="none"/>
        </w:rPr>
        <w:t>响应无效</w:t>
      </w:r>
      <w:r>
        <w:rPr>
          <w:sz w:val="24"/>
          <w:highlight w:val="none"/>
        </w:rPr>
        <w:t>。</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8</w:t>
      </w:r>
      <w:r>
        <w:rPr>
          <w:sz w:val="24"/>
          <w:highlight w:val="none"/>
        </w:rPr>
        <w:t>.2除竞争性磋商文件有特殊要求外，本项目磋商所使用的计量单位，应采用中华人民共和国法定计量单位。</w:t>
      </w:r>
    </w:p>
    <w:p>
      <w:pPr>
        <w:tabs>
          <w:tab w:val="left" w:pos="1080"/>
          <w:tab w:val="left" w:pos="1589"/>
          <w:tab w:val="left" w:pos="2014"/>
        </w:tabs>
        <w:snapToGrid w:val="0"/>
        <w:spacing w:line="360" w:lineRule="auto"/>
        <w:ind w:firstLine="480" w:firstLineChars="200"/>
        <w:rPr>
          <w:sz w:val="24"/>
          <w:highlight w:val="none"/>
        </w:rPr>
      </w:pPr>
      <w:r>
        <w:rPr>
          <w:sz w:val="24"/>
          <w:highlight w:val="none"/>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3"/>
        </w:numPr>
        <w:tabs>
          <w:tab w:val="left" w:pos="360"/>
          <w:tab w:val="left" w:pos="900"/>
        </w:tabs>
        <w:snapToGrid w:val="0"/>
        <w:spacing w:line="360" w:lineRule="auto"/>
        <w:ind w:left="357" w:hanging="357"/>
        <w:outlineLvl w:val="1"/>
        <w:rPr>
          <w:b/>
          <w:bCs/>
          <w:sz w:val="24"/>
          <w:highlight w:val="none"/>
        </w:rPr>
      </w:pPr>
      <w:bookmarkStart w:id="250" w:name="_Ref467306195"/>
      <w:bookmarkStart w:id="251" w:name="_Ref467306676"/>
      <w:bookmarkStart w:id="252" w:name="_Toc516367022"/>
      <w:bookmarkStart w:id="253" w:name="_Toc520356152"/>
      <w:bookmarkStart w:id="254" w:name="_Toc226309772"/>
      <w:bookmarkStart w:id="255" w:name="_Toc150480766"/>
      <w:bookmarkStart w:id="256" w:name="_Toc142311030"/>
      <w:bookmarkStart w:id="257" w:name="_Toc127161442"/>
      <w:bookmarkStart w:id="258" w:name="_Toc226965801"/>
      <w:bookmarkStart w:id="259" w:name="_Toc149720821"/>
      <w:bookmarkStart w:id="260" w:name="_Toc151190155"/>
      <w:bookmarkStart w:id="261" w:name="_Toc151193842"/>
      <w:bookmarkStart w:id="262" w:name="_Toc150774733"/>
      <w:bookmarkStart w:id="263" w:name="_Toc151193698"/>
      <w:bookmarkStart w:id="264" w:name="_Toc151193916"/>
      <w:bookmarkStart w:id="265" w:name="_Toc226965718"/>
      <w:bookmarkStart w:id="266" w:name="_Toc127151729"/>
      <w:bookmarkStart w:id="267" w:name="_Toc195842893"/>
      <w:bookmarkStart w:id="268" w:name="_Toc127151528"/>
      <w:bookmarkStart w:id="269" w:name="_Toc164608642"/>
      <w:bookmarkStart w:id="270" w:name="_Toc226337224"/>
      <w:bookmarkStart w:id="271" w:name="_Toc164608797"/>
      <w:bookmarkStart w:id="272" w:name="_Toc164229369"/>
      <w:bookmarkStart w:id="273" w:name="_Toc305158796"/>
      <w:bookmarkStart w:id="274" w:name="_Toc264969218"/>
      <w:bookmarkStart w:id="275" w:name="_Toc265228366"/>
      <w:bookmarkStart w:id="276" w:name="_Toc305158870"/>
      <w:bookmarkStart w:id="277" w:name="_Toc164229223"/>
      <w:bookmarkStart w:id="278" w:name="_Toc150774628"/>
      <w:bookmarkStart w:id="279" w:name="_Toc151193770"/>
      <w:bookmarkStart w:id="280" w:name="_Toc151193626"/>
      <w:bookmarkStart w:id="281" w:name="_Toc150509279"/>
      <w:bookmarkStart w:id="282" w:name="_Toc164351622"/>
      <w:r>
        <w:rPr>
          <w:b/>
          <w:bCs/>
          <w:sz w:val="24"/>
          <w:highlight w:val="none"/>
        </w:rPr>
        <w:t>响应文件</w:t>
      </w:r>
      <w:bookmarkEnd w:id="250"/>
      <w:bookmarkEnd w:id="251"/>
      <w:bookmarkEnd w:id="252"/>
      <w:r>
        <w:rPr>
          <w:b/>
          <w:bCs/>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tabs>
          <w:tab w:val="left" w:pos="1080"/>
          <w:tab w:val="left" w:pos="1589"/>
          <w:tab w:val="left" w:pos="2014"/>
        </w:tabs>
        <w:snapToGrid w:val="0"/>
        <w:spacing w:line="360" w:lineRule="auto"/>
        <w:ind w:firstLine="480" w:firstLineChars="200"/>
        <w:rPr>
          <w:sz w:val="24"/>
          <w:highlight w:val="none"/>
        </w:rPr>
      </w:pPr>
      <w:bookmarkStart w:id="283" w:name="_Ref467052588"/>
      <w:r>
        <w:rPr>
          <w:rFonts w:hint="eastAsia"/>
          <w:sz w:val="24"/>
          <w:highlight w:val="none"/>
        </w:rPr>
        <w:t>9</w:t>
      </w:r>
      <w:r>
        <w:rPr>
          <w:sz w:val="24"/>
          <w:highlight w:val="none"/>
        </w:rPr>
        <w:t>.1供应商应当按照竞争性磋商文件的要求编制响应文件，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pPr>
        <w:tabs>
          <w:tab w:val="left" w:pos="1080"/>
          <w:tab w:val="left" w:pos="1589"/>
          <w:tab w:val="left" w:pos="2014"/>
        </w:tabs>
        <w:snapToGrid w:val="0"/>
        <w:spacing w:line="360" w:lineRule="auto"/>
        <w:ind w:firstLine="480" w:firstLineChars="200"/>
        <w:rPr>
          <w:sz w:val="24"/>
          <w:highlight w:val="none"/>
        </w:rPr>
      </w:pPr>
      <w:r>
        <w:rPr>
          <w:rFonts w:hint="eastAsia"/>
          <w:kern w:val="0"/>
          <w:sz w:val="24"/>
          <w:highlight w:val="none"/>
        </w:rPr>
        <w:t>9</w:t>
      </w:r>
      <w:r>
        <w:rPr>
          <w:kern w:val="0"/>
          <w:sz w:val="24"/>
          <w:highlight w:val="none"/>
        </w:rPr>
        <w:t>.2对于竞争性磋商文件中标（成交）记了“实质性格式”文件的，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9</w:t>
      </w:r>
      <w:r>
        <w:rPr>
          <w:sz w:val="24"/>
          <w:highlight w:val="none"/>
        </w:rPr>
        <w:t>.3第三章《评审方法和评审标准》中涉及的证明文件。</w:t>
      </w:r>
    </w:p>
    <w:p>
      <w:pPr>
        <w:tabs>
          <w:tab w:val="left" w:pos="1080"/>
          <w:tab w:val="left" w:pos="1589"/>
          <w:tab w:val="left" w:pos="2014"/>
        </w:tabs>
        <w:snapToGrid w:val="0"/>
        <w:spacing w:line="360" w:lineRule="auto"/>
        <w:ind w:firstLine="480" w:firstLineChars="200"/>
        <w:rPr>
          <w:sz w:val="24"/>
          <w:highlight w:val="none"/>
        </w:rPr>
      </w:pPr>
      <w:r>
        <w:rPr>
          <w:sz w:val="24"/>
          <w:highlight w:val="none"/>
        </w:rPr>
        <w:t>9.4对照第四章《采购需求》，说明所提供货物和服务已对第四章《采购需求》做出了响应，或申明与第四章《采购需求》的偏差和例外。如第四章《采购需求》中要求提供证明文件的，供应商应当按具体要求提供证明文件。</w:t>
      </w:r>
    </w:p>
    <w:p>
      <w:pPr>
        <w:tabs>
          <w:tab w:val="left" w:pos="1080"/>
          <w:tab w:val="left" w:pos="1589"/>
          <w:tab w:val="left" w:pos="2014"/>
        </w:tabs>
        <w:snapToGrid w:val="0"/>
        <w:spacing w:line="360" w:lineRule="auto"/>
        <w:ind w:firstLine="480" w:firstLineChars="200"/>
        <w:rPr>
          <w:sz w:val="24"/>
          <w:highlight w:val="none"/>
        </w:rPr>
      </w:pPr>
      <w:r>
        <w:rPr>
          <w:sz w:val="24"/>
          <w:highlight w:val="none"/>
        </w:rPr>
        <w:t>9.5供应商认为应附的其他材料。</w:t>
      </w:r>
      <w:bookmarkEnd w:id="283"/>
    </w:p>
    <w:p>
      <w:pPr>
        <w:numPr>
          <w:ilvl w:val="0"/>
          <w:numId w:val="13"/>
        </w:numPr>
        <w:tabs>
          <w:tab w:val="left" w:pos="360"/>
          <w:tab w:val="left" w:pos="900"/>
        </w:tabs>
        <w:snapToGrid w:val="0"/>
        <w:spacing w:line="360" w:lineRule="auto"/>
        <w:ind w:left="357" w:hanging="357"/>
        <w:outlineLvl w:val="1"/>
        <w:rPr>
          <w:b/>
          <w:bCs/>
          <w:sz w:val="24"/>
          <w:highlight w:val="none"/>
        </w:rPr>
      </w:pPr>
      <w:bookmarkStart w:id="284" w:name="_Toc149720823"/>
      <w:bookmarkStart w:id="285" w:name="_Toc150774630"/>
      <w:bookmarkStart w:id="286" w:name="_Toc127151530"/>
      <w:bookmarkStart w:id="287" w:name="_Toc127151731"/>
      <w:bookmarkStart w:id="288" w:name="_Toc151193844"/>
      <w:bookmarkStart w:id="289" w:name="_Toc164608644"/>
      <w:bookmarkStart w:id="290" w:name="_Toc151190157"/>
      <w:bookmarkStart w:id="291" w:name="_Toc164229225"/>
      <w:bookmarkStart w:id="292" w:name="_Toc150774735"/>
      <w:bookmarkStart w:id="293" w:name="_Toc127161444"/>
      <w:bookmarkStart w:id="294" w:name="_Toc151193918"/>
      <w:bookmarkStart w:id="295" w:name="_Toc164608799"/>
      <w:bookmarkStart w:id="296" w:name="_Toc164351624"/>
      <w:bookmarkStart w:id="297" w:name="_Toc150480768"/>
      <w:bookmarkStart w:id="298" w:name="_Toc164229371"/>
      <w:bookmarkStart w:id="299" w:name="_Toc151193628"/>
      <w:bookmarkStart w:id="300" w:name="_Toc151193700"/>
      <w:bookmarkStart w:id="301" w:name="_Toc520356155"/>
      <w:bookmarkStart w:id="302" w:name="_Toc195842895"/>
      <w:bookmarkStart w:id="303" w:name="_Toc142311032"/>
      <w:bookmarkStart w:id="304" w:name="_Toc151193772"/>
      <w:bookmarkStart w:id="305" w:name="_Toc150509281"/>
      <w:r>
        <w:rPr>
          <w:b/>
          <w:bCs/>
          <w:sz w:val="24"/>
          <w:highlight w:val="none"/>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tabs>
          <w:tab w:val="left" w:pos="1080"/>
          <w:tab w:val="left" w:pos="1589"/>
          <w:tab w:val="left" w:pos="2014"/>
        </w:tabs>
        <w:snapToGrid w:val="0"/>
        <w:spacing w:line="360" w:lineRule="auto"/>
        <w:ind w:firstLine="480" w:firstLineChars="200"/>
        <w:rPr>
          <w:sz w:val="24"/>
        </w:rPr>
      </w:pPr>
      <w:r>
        <w:rPr>
          <w:rFonts w:hint="eastAsia"/>
          <w:sz w:val="24"/>
        </w:rPr>
        <w:t>1</w:t>
      </w:r>
      <w:r>
        <w:rPr>
          <w:sz w:val="24"/>
        </w:rPr>
        <w:t>0.1 所有响应均以人民币报价。</w:t>
      </w:r>
    </w:p>
    <w:p>
      <w:pPr>
        <w:tabs>
          <w:tab w:val="left" w:pos="1080"/>
          <w:tab w:val="left" w:pos="1589"/>
        </w:tabs>
        <w:snapToGrid w:val="0"/>
        <w:spacing w:line="360" w:lineRule="auto"/>
        <w:ind w:firstLine="480" w:firstLineChars="200"/>
        <w:rPr>
          <w:sz w:val="24"/>
        </w:rPr>
      </w:pPr>
      <w:r>
        <w:rPr>
          <w:sz w:val="24"/>
        </w:rPr>
        <w:t>10.2 供应商的报价应包括为完成本项目所发生的一切费用和税费，</w:t>
      </w:r>
      <w:r>
        <w:rPr>
          <w:rFonts w:hint="eastAsia"/>
          <w:sz w:val="24"/>
        </w:rPr>
        <w:t>为实施、完成招</w:t>
      </w:r>
    </w:p>
    <w:p>
      <w:pPr>
        <w:tabs>
          <w:tab w:val="left" w:pos="1080"/>
          <w:tab w:val="left" w:pos="1589"/>
        </w:tabs>
        <w:snapToGrid w:val="0"/>
        <w:spacing w:line="360" w:lineRule="auto"/>
        <w:rPr>
          <w:sz w:val="24"/>
        </w:rPr>
      </w:pPr>
      <w:r>
        <w:rPr>
          <w:rFonts w:hint="eastAsia"/>
          <w:sz w:val="24"/>
        </w:rPr>
        <w:t>标工程并修补缺陷以及履行竞争性磋商文件中约定的风险范围内的所有责任和义务所发生的全部费用。供应商的报价应包括但不限于下列内容，《供应商须知资料表》中有特殊规定的，从其规定。</w:t>
      </w:r>
    </w:p>
    <w:p>
      <w:pPr>
        <w:tabs>
          <w:tab w:val="left" w:pos="1980"/>
        </w:tabs>
        <w:snapToGrid w:val="0"/>
        <w:spacing w:line="360" w:lineRule="auto"/>
        <w:ind w:firstLine="480" w:firstLineChars="200"/>
        <w:rPr>
          <w:sz w:val="24"/>
        </w:rPr>
      </w:pPr>
      <w:r>
        <w:rPr>
          <w:rFonts w:hint="eastAsia"/>
          <w:sz w:val="24"/>
        </w:rPr>
        <w:t>1</w:t>
      </w:r>
      <w:r>
        <w:rPr>
          <w:sz w:val="24"/>
        </w:rPr>
        <w:t xml:space="preserve">0.2.1 </w:t>
      </w:r>
      <w:r>
        <w:rPr>
          <w:rFonts w:hint="eastAsia"/>
          <w:sz w:val="24"/>
        </w:rPr>
        <w:t>投标报价应根据竞争性磋商文件中的有关计价要求，并按照下列依据自主报价。</w:t>
      </w:r>
    </w:p>
    <w:p>
      <w:pPr>
        <w:tabs>
          <w:tab w:val="left" w:pos="1980"/>
        </w:tabs>
        <w:snapToGrid w:val="0"/>
        <w:spacing w:line="360" w:lineRule="auto"/>
        <w:ind w:firstLine="480" w:firstLineChars="200"/>
        <w:rPr>
          <w:sz w:val="24"/>
        </w:rPr>
      </w:pPr>
      <w:r>
        <w:rPr>
          <w:rFonts w:hint="eastAsia"/>
          <w:sz w:val="24"/>
        </w:rPr>
        <w:t>(1) 本竞争性磋商文件；</w:t>
      </w:r>
    </w:p>
    <w:p>
      <w:pPr>
        <w:tabs>
          <w:tab w:val="left" w:pos="1980"/>
        </w:tabs>
        <w:snapToGrid w:val="0"/>
        <w:spacing w:line="360" w:lineRule="auto"/>
        <w:ind w:firstLine="480" w:firstLineChars="200"/>
        <w:rPr>
          <w:sz w:val="24"/>
        </w:rPr>
      </w:pPr>
      <w:r>
        <w:rPr>
          <w:rFonts w:hint="eastAsia"/>
          <w:sz w:val="24"/>
        </w:rPr>
        <w:t>(2) 《建设工程工程量清单计价规范》；</w:t>
      </w:r>
    </w:p>
    <w:p>
      <w:pPr>
        <w:tabs>
          <w:tab w:val="left" w:pos="1980"/>
        </w:tabs>
        <w:snapToGrid w:val="0"/>
        <w:spacing w:line="360" w:lineRule="auto"/>
        <w:ind w:firstLine="480" w:firstLineChars="200"/>
        <w:rPr>
          <w:sz w:val="24"/>
        </w:rPr>
      </w:pPr>
      <w:r>
        <w:rPr>
          <w:rFonts w:hint="eastAsia"/>
          <w:sz w:val="24"/>
        </w:rPr>
        <w:t>(3) 国家或省级、行业建设主管部门颁发的计价办法；</w:t>
      </w:r>
    </w:p>
    <w:p>
      <w:pPr>
        <w:tabs>
          <w:tab w:val="left" w:pos="1980"/>
        </w:tabs>
        <w:snapToGrid w:val="0"/>
        <w:spacing w:line="360" w:lineRule="auto"/>
        <w:ind w:firstLine="480" w:firstLineChars="200"/>
        <w:rPr>
          <w:sz w:val="24"/>
        </w:rPr>
      </w:pPr>
      <w:r>
        <w:rPr>
          <w:rFonts w:hint="eastAsia"/>
          <w:sz w:val="24"/>
        </w:rPr>
        <w:t>(4) 企业定额，国家或省级、行业建设主管部门颁发的计价定额；</w:t>
      </w:r>
    </w:p>
    <w:p>
      <w:pPr>
        <w:tabs>
          <w:tab w:val="left" w:pos="1980"/>
        </w:tabs>
        <w:snapToGrid w:val="0"/>
        <w:spacing w:line="360" w:lineRule="auto"/>
        <w:ind w:firstLine="480" w:firstLineChars="200"/>
        <w:rPr>
          <w:sz w:val="24"/>
        </w:rPr>
      </w:pPr>
      <w:r>
        <w:rPr>
          <w:rFonts w:hint="eastAsia"/>
          <w:sz w:val="24"/>
        </w:rPr>
        <w:t>(5) 竞争性磋商文件(包括工程量清单、招标控制价、图纸)的澄清、补充和修改文件；</w:t>
      </w:r>
    </w:p>
    <w:p>
      <w:pPr>
        <w:tabs>
          <w:tab w:val="left" w:pos="1980"/>
        </w:tabs>
        <w:snapToGrid w:val="0"/>
        <w:spacing w:line="360" w:lineRule="auto"/>
        <w:ind w:firstLine="480" w:firstLineChars="200"/>
        <w:rPr>
          <w:sz w:val="24"/>
        </w:rPr>
      </w:pPr>
      <w:r>
        <w:rPr>
          <w:rFonts w:hint="eastAsia"/>
          <w:sz w:val="24"/>
        </w:rPr>
        <w:t>(6) 建设工程设计文件及相关资料；</w:t>
      </w:r>
    </w:p>
    <w:p>
      <w:pPr>
        <w:tabs>
          <w:tab w:val="left" w:pos="1980"/>
        </w:tabs>
        <w:snapToGrid w:val="0"/>
        <w:spacing w:line="360" w:lineRule="auto"/>
        <w:ind w:firstLine="480" w:firstLineChars="200"/>
        <w:rPr>
          <w:sz w:val="24"/>
        </w:rPr>
      </w:pPr>
      <w:r>
        <w:rPr>
          <w:rFonts w:hint="eastAsia"/>
          <w:sz w:val="24"/>
        </w:rPr>
        <w:t>(7) 施工现场情况、工程特点及拟定的投标施工组织设计或施工方案；</w:t>
      </w:r>
    </w:p>
    <w:p>
      <w:pPr>
        <w:tabs>
          <w:tab w:val="left" w:pos="1980"/>
        </w:tabs>
        <w:snapToGrid w:val="0"/>
        <w:spacing w:line="360" w:lineRule="auto"/>
        <w:ind w:firstLine="480" w:firstLineChars="200"/>
        <w:rPr>
          <w:sz w:val="24"/>
        </w:rPr>
      </w:pPr>
      <w:r>
        <w:rPr>
          <w:rFonts w:hint="eastAsia"/>
          <w:sz w:val="24"/>
        </w:rPr>
        <w:t>(8) 与建设项目相关的标准、规定等技术资料；</w:t>
      </w:r>
    </w:p>
    <w:p>
      <w:pPr>
        <w:tabs>
          <w:tab w:val="left" w:pos="1980"/>
        </w:tabs>
        <w:snapToGrid w:val="0"/>
        <w:spacing w:line="360" w:lineRule="auto"/>
        <w:ind w:firstLine="480" w:firstLineChars="200"/>
        <w:rPr>
          <w:sz w:val="24"/>
        </w:rPr>
      </w:pPr>
      <w:r>
        <w:rPr>
          <w:rFonts w:hint="eastAsia"/>
          <w:sz w:val="24"/>
        </w:rPr>
        <w:t>(9) 市场价格信息或工程造价管理机构发布的工程造价信息；</w:t>
      </w:r>
    </w:p>
    <w:p>
      <w:pPr>
        <w:tabs>
          <w:tab w:val="left" w:pos="1980"/>
        </w:tabs>
        <w:snapToGrid w:val="0"/>
        <w:spacing w:line="360" w:lineRule="auto"/>
        <w:ind w:firstLine="480" w:firstLineChars="200"/>
        <w:rPr>
          <w:sz w:val="24"/>
        </w:rPr>
      </w:pPr>
      <w:r>
        <w:rPr>
          <w:rFonts w:hint="eastAsia"/>
          <w:sz w:val="24"/>
        </w:rPr>
        <w:t>(10) 其他的相关资料。</w:t>
      </w:r>
      <w:r>
        <w:rPr>
          <w:sz w:val="24"/>
        </w:rPr>
        <w:t xml:space="preserve"> </w:t>
      </w:r>
    </w:p>
    <w:p>
      <w:pPr>
        <w:tabs>
          <w:tab w:val="left" w:pos="1980"/>
        </w:tabs>
        <w:snapToGrid w:val="0"/>
        <w:spacing w:line="360" w:lineRule="auto"/>
        <w:ind w:firstLine="480" w:firstLineChars="200"/>
        <w:rPr>
          <w:sz w:val="24"/>
        </w:rPr>
      </w:pPr>
      <w:r>
        <w:rPr>
          <w:sz w:val="24"/>
        </w:rPr>
        <w:t xml:space="preserve">10.2.2 </w:t>
      </w:r>
      <w:r>
        <w:rPr>
          <w:rFonts w:hint="eastAsia"/>
          <w:sz w:val="24"/>
        </w:rPr>
        <w:t>工程量清单中的每一子目须填入单价或价格，且只允许有一个报价。</w:t>
      </w:r>
    </w:p>
    <w:p>
      <w:pPr>
        <w:tabs>
          <w:tab w:val="left" w:pos="1980"/>
        </w:tabs>
        <w:snapToGrid w:val="0"/>
        <w:spacing w:line="360" w:lineRule="auto"/>
        <w:ind w:firstLine="480" w:firstLineChars="200"/>
        <w:rPr>
          <w:sz w:val="24"/>
        </w:rPr>
      </w:pPr>
      <w:r>
        <w:rPr>
          <w:sz w:val="24"/>
        </w:rPr>
        <w:t xml:space="preserve">10.2.3 </w:t>
      </w:r>
      <w:r>
        <w:rPr>
          <w:rFonts w:hint="eastAsia"/>
          <w:sz w:val="24"/>
        </w:rPr>
        <w:t>工程量清单中标价的单价或金额，应包括所需人工费、材料费、施工机械使用费和管理费及利润，以及一定范围内的风险费用。所谓“一定范围内的风险”是指合同约定的风险。</w:t>
      </w:r>
    </w:p>
    <w:p>
      <w:pPr>
        <w:tabs>
          <w:tab w:val="left" w:pos="1980"/>
        </w:tabs>
        <w:snapToGrid w:val="0"/>
        <w:spacing w:line="360" w:lineRule="auto"/>
        <w:ind w:firstLine="480" w:firstLineChars="200"/>
        <w:rPr>
          <w:sz w:val="24"/>
        </w:rPr>
      </w:pPr>
      <w:r>
        <w:rPr>
          <w:rFonts w:hint="eastAsia"/>
          <w:sz w:val="24"/>
        </w:rPr>
        <w:t>1</w:t>
      </w:r>
      <w:r>
        <w:rPr>
          <w:sz w:val="24"/>
        </w:rPr>
        <w:t xml:space="preserve">0.2.4 </w:t>
      </w:r>
      <w:r>
        <w:rPr>
          <w:rFonts w:hint="eastAsia"/>
          <w:sz w:val="24"/>
        </w:rPr>
        <w:t>已标价工程量清单中磋商供应商没有填入单价或价格的子目，其费用视为已分摊在工程量清单中其他已标价的相关子目的单价或价格之中。</w:t>
      </w:r>
    </w:p>
    <w:p>
      <w:pPr>
        <w:tabs>
          <w:tab w:val="left" w:pos="1980"/>
        </w:tabs>
        <w:snapToGrid w:val="0"/>
        <w:spacing w:line="360" w:lineRule="auto"/>
        <w:ind w:firstLine="480" w:firstLineChars="200"/>
        <w:rPr>
          <w:sz w:val="24"/>
        </w:rPr>
      </w:pPr>
      <w:r>
        <w:rPr>
          <w:rFonts w:hint="eastAsia"/>
          <w:sz w:val="24"/>
        </w:rPr>
        <w:t>10.2.5 “报价一览表”中的报价由分部分项工程费、措施项目费、其他项目费、规费和税金组成，并且“报价一览表”中的报价应当与构成已标价工程量清单的分部分项工程费、措施项目费、其他项目费、规费、税金的合计金额一致。</w:t>
      </w:r>
    </w:p>
    <w:p>
      <w:pPr>
        <w:tabs>
          <w:tab w:val="left" w:pos="1980"/>
        </w:tabs>
        <w:snapToGrid w:val="0"/>
        <w:spacing w:line="360" w:lineRule="auto"/>
        <w:ind w:firstLine="480" w:firstLineChars="200"/>
        <w:rPr>
          <w:sz w:val="24"/>
        </w:rPr>
      </w:pPr>
      <w:r>
        <w:rPr>
          <w:rFonts w:hint="eastAsia"/>
          <w:sz w:val="24"/>
        </w:rPr>
        <w:t>10.2.6 分部分项工程项目按下列要求报价：</w:t>
      </w:r>
    </w:p>
    <w:p>
      <w:pPr>
        <w:tabs>
          <w:tab w:val="left" w:pos="1980"/>
        </w:tabs>
        <w:snapToGrid w:val="0"/>
        <w:spacing w:line="360" w:lineRule="auto"/>
        <w:ind w:firstLine="480" w:firstLineChars="200"/>
        <w:rPr>
          <w:sz w:val="24"/>
        </w:rPr>
      </w:pPr>
      <w:r>
        <w:rPr>
          <w:rFonts w:hint="eastAsia"/>
          <w:sz w:val="24"/>
        </w:rPr>
        <w:t>10.2.6.1 分部分项工程量清单计价应依据计价规范中关于综合单价的组成内容确定报价。</w:t>
      </w:r>
    </w:p>
    <w:p>
      <w:pPr>
        <w:tabs>
          <w:tab w:val="left" w:pos="1980"/>
        </w:tabs>
        <w:snapToGrid w:val="0"/>
        <w:spacing w:line="360" w:lineRule="auto"/>
        <w:ind w:firstLine="480" w:firstLineChars="200"/>
        <w:rPr>
          <w:sz w:val="24"/>
        </w:rPr>
      </w:pPr>
      <w:r>
        <w:rPr>
          <w:rFonts w:hint="eastAsia"/>
          <w:sz w:val="24"/>
        </w:rPr>
        <w:t>10.2.6.</w:t>
      </w:r>
      <w:r>
        <w:rPr>
          <w:sz w:val="24"/>
        </w:rPr>
        <w:t>2</w:t>
      </w:r>
      <w:r>
        <w:rPr>
          <w:rFonts w:hint="eastAsia"/>
          <w:sz w:val="24"/>
        </w:rPr>
        <w:t xml:space="preserve"> “分部分项工程和单价措施项目清单与计价表”所列各子目的综合单价组成中，各子目的人工、材料和机械台班消耗量由磋商供应商按照其自身情况做充分的、竞争性考虑。材料消耗量包括损耗量。</w:t>
      </w:r>
    </w:p>
    <w:p>
      <w:pPr>
        <w:tabs>
          <w:tab w:val="left" w:pos="1980"/>
        </w:tabs>
        <w:snapToGrid w:val="0"/>
        <w:spacing w:line="360" w:lineRule="auto"/>
        <w:ind w:firstLine="480" w:firstLineChars="200"/>
        <w:rPr>
          <w:sz w:val="24"/>
        </w:rPr>
      </w:pPr>
      <w:r>
        <w:rPr>
          <w:rFonts w:hint="eastAsia"/>
          <w:sz w:val="24"/>
        </w:rPr>
        <w:t>10.2.7 措施项目按下列要求报价：</w:t>
      </w:r>
    </w:p>
    <w:p>
      <w:pPr>
        <w:tabs>
          <w:tab w:val="left" w:pos="1980"/>
        </w:tabs>
        <w:snapToGrid w:val="0"/>
        <w:spacing w:line="360" w:lineRule="auto"/>
        <w:ind w:firstLine="480" w:firstLineChars="200"/>
        <w:rPr>
          <w:sz w:val="24"/>
        </w:rPr>
      </w:pPr>
      <w:r>
        <w:rPr>
          <w:rFonts w:hint="eastAsia"/>
          <w:sz w:val="24"/>
        </w:rPr>
        <w:t>10.2.7.1 措施项目清单计价应根据磋商供应商的施工组织设计进行报价。可以计量工程量的措施项目，应按分部分项工程量清单的方式采用综合单价计价；其余的措施项目可以“项”为单位的方式计价。磋商供应商所填报价格应包括除规费、税金外的全部费用。</w:t>
      </w:r>
    </w:p>
    <w:p>
      <w:pPr>
        <w:tabs>
          <w:tab w:val="left" w:pos="1980"/>
        </w:tabs>
        <w:snapToGrid w:val="0"/>
        <w:spacing w:line="360" w:lineRule="auto"/>
        <w:ind w:firstLine="480" w:firstLineChars="200"/>
        <w:rPr>
          <w:sz w:val="24"/>
        </w:rPr>
      </w:pPr>
      <w:r>
        <w:rPr>
          <w:rFonts w:hint="eastAsia"/>
          <w:sz w:val="24"/>
        </w:rPr>
        <w:t>10.2.7.2 措施项目清单中的安全文明施工费应按国家、省级或行业建设主管部门的规定计价，不得作为竞争性费用。</w:t>
      </w:r>
    </w:p>
    <w:p>
      <w:pPr>
        <w:tabs>
          <w:tab w:val="left" w:pos="1980"/>
        </w:tabs>
        <w:snapToGrid w:val="0"/>
        <w:spacing w:line="360" w:lineRule="auto"/>
        <w:ind w:firstLine="480" w:firstLineChars="200"/>
        <w:rPr>
          <w:sz w:val="24"/>
        </w:rPr>
      </w:pPr>
      <w:r>
        <w:rPr>
          <w:rFonts w:hint="eastAsia"/>
          <w:sz w:val="24"/>
        </w:rPr>
        <w:t>10.2.7.3 采购单位提供的措施项目清单中所列项目仅指一般的通用项目，磋商供应商在报价时应充分、全面地阅读和理解竞争性磋商文件的相关内容和约定，包括工程量清单（含编制说明）及图纸，详实了解工程场地及其周围环境，充分考虑招标工程特点及拟定的施工方案和施工组织设计，对采购单位给出的措施项目清单的内容进行细化或增减。</w:t>
      </w:r>
    </w:p>
    <w:p>
      <w:pPr>
        <w:tabs>
          <w:tab w:val="left" w:pos="1980"/>
        </w:tabs>
        <w:snapToGrid w:val="0"/>
        <w:spacing w:line="360" w:lineRule="auto"/>
        <w:ind w:firstLine="480" w:firstLineChars="200"/>
        <w:rPr>
          <w:sz w:val="24"/>
        </w:rPr>
      </w:pPr>
      <w:r>
        <w:rPr>
          <w:rFonts w:hint="eastAsia"/>
          <w:sz w:val="24"/>
        </w:rPr>
        <w:t>10.2.7.4 “措施项目清单与计价表”中所填写的报价金额，应全面涵盖竞争性磋商文件约定的磋商供应商成交后施工、竣工、交付本工程并维修其任何缺陷所需要履行的责任和义务的全部费用。</w:t>
      </w:r>
    </w:p>
    <w:p>
      <w:pPr>
        <w:tabs>
          <w:tab w:val="left" w:pos="1980"/>
        </w:tabs>
        <w:snapToGrid w:val="0"/>
        <w:spacing w:line="360" w:lineRule="auto"/>
        <w:ind w:firstLine="480" w:firstLineChars="200"/>
        <w:rPr>
          <w:sz w:val="24"/>
        </w:rPr>
      </w:pPr>
      <w:r>
        <w:rPr>
          <w:rFonts w:hint="eastAsia"/>
          <w:sz w:val="24"/>
        </w:rPr>
        <w:t>10.2.</w:t>
      </w:r>
      <w:r>
        <w:rPr>
          <w:sz w:val="24"/>
        </w:rPr>
        <w:t>8</w:t>
      </w:r>
      <w:r>
        <w:rPr>
          <w:rFonts w:hint="eastAsia"/>
          <w:sz w:val="24"/>
        </w:rPr>
        <w:t xml:space="preserve"> 规费和税金应按“规费、税金项目清单与计价表”所列项目并根据国家、省级或行业建设主管部门的有关规定列项和计算，不得作为竞争性费用。</w:t>
      </w:r>
    </w:p>
    <w:p>
      <w:pPr>
        <w:tabs>
          <w:tab w:val="left" w:pos="1980"/>
        </w:tabs>
        <w:snapToGrid w:val="0"/>
        <w:spacing w:line="360" w:lineRule="auto"/>
        <w:ind w:firstLine="480" w:firstLineChars="200"/>
        <w:rPr>
          <w:sz w:val="24"/>
        </w:rPr>
      </w:pPr>
      <w:r>
        <w:rPr>
          <w:rFonts w:hint="eastAsia"/>
          <w:sz w:val="24"/>
        </w:rPr>
        <w:t>10.2.</w:t>
      </w:r>
      <w:r>
        <w:rPr>
          <w:sz w:val="24"/>
        </w:rPr>
        <w:t>9</w:t>
      </w:r>
      <w:r>
        <w:rPr>
          <w:rFonts w:hint="eastAsia"/>
          <w:sz w:val="24"/>
        </w:rPr>
        <w:t xml:space="preserve"> 除竞争性磋商文件有强制性规定以及不可竞争部分以外，磋商报价由磋商供应商自主确定，但不得低于其成本。</w:t>
      </w:r>
    </w:p>
    <w:p>
      <w:pPr>
        <w:tabs>
          <w:tab w:val="left" w:pos="1980"/>
        </w:tabs>
        <w:snapToGrid w:val="0"/>
        <w:spacing w:line="360" w:lineRule="auto"/>
        <w:ind w:firstLine="480" w:firstLineChars="200"/>
        <w:rPr>
          <w:sz w:val="24"/>
        </w:rPr>
      </w:pPr>
      <w:r>
        <w:rPr>
          <w:rFonts w:hint="eastAsia"/>
          <w:sz w:val="24"/>
        </w:rPr>
        <w:t>10.2.1</w:t>
      </w:r>
      <w:r>
        <w:rPr>
          <w:sz w:val="24"/>
        </w:rPr>
        <w:t>0</w:t>
      </w:r>
      <w:r>
        <w:rPr>
          <w:rFonts w:hint="eastAsia"/>
          <w:sz w:val="24"/>
        </w:rPr>
        <w:t xml:space="preserve"> 工程量清单计价所涉及的生产资源(包括各类人工、材料、工程设备、施工设备、临时设施、临时用水、临时用电等)的投标价格，应根据自身的信息渠道和采购渠道，分析其市场价格水平并判断其整个施工周期内的变化趋势，体现磋商供应商自身的管理水平、技术水平和综合实力。</w:t>
      </w:r>
    </w:p>
    <w:p>
      <w:pPr>
        <w:tabs>
          <w:tab w:val="left" w:pos="1980"/>
        </w:tabs>
        <w:snapToGrid w:val="0"/>
        <w:spacing w:line="360" w:lineRule="auto"/>
        <w:ind w:firstLine="480" w:firstLineChars="200"/>
        <w:rPr>
          <w:sz w:val="24"/>
        </w:rPr>
      </w:pPr>
      <w:r>
        <w:rPr>
          <w:rFonts w:hint="eastAsia"/>
          <w:sz w:val="24"/>
        </w:rPr>
        <w:t>10.2.1</w:t>
      </w:r>
      <w:r>
        <w:rPr>
          <w:sz w:val="24"/>
        </w:rPr>
        <w:t>1</w:t>
      </w:r>
      <w:r>
        <w:rPr>
          <w:rFonts w:hint="eastAsia"/>
          <w:sz w:val="24"/>
        </w:rPr>
        <w:t xml:space="preserve"> 管理费应由磋商供应商在保证不低于其成本的基础上做竞争性考虑；利润由磋商供应商根据自身情况和综合实力做竞争性考虑。</w:t>
      </w:r>
    </w:p>
    <w:p>
      <w:pPr>
        <w:tabs>
          <w:tab w:val="left" w:pos="1980"/>
        </w:tabs>
        <w:snapToGrid w:val="0"/>
        <w:spacing w:line="360" w:lineRule="auto"/>
        <w:ind w:firstLine="480" w:firstLineChars="200"/>
        <w:rPr>
          <w:sz w:val="24"/>
        </w:rPr>
      </w:pPr>
      <w:r>
        <w:rPr>
          <w:rFonts w:hint="eastAsia"/>
          <w:sz w:val="24"/>
        </w:rPr>
        <w:t>10.2.1</w:t>
      </w:r>
      <w:r>
        <w:rPr>
          <w:sz w:val="24"/>
        </w:rPr>
        <w:t>2</w:t>
      </w:r>
      <w:r>
        <w:rPr>
          <w:rFonts w:hint="eastAsia"/>
          <w:sz w:val="24"/>
        </w:rPr>
        <w:t>项目报价中应考虑竞争性磋商文件中要求磋商供应商承担的风险范围以及相关的费用。</w:t>
      </w:r>
    </w:p>
    <w:p>
      <w:pPr>
        <w:tabs>
          <w:tab w:val="left" w:pos="1980"/>
        </w:tabs>
        <w:snapToGrid w:val="0"/>
        <w:spacing w:line="360" w:lineRule="auto"/>
        <w:ind w:firstLine="480" w:firstLineChars="200"/>
        <w:rPr>
          <w:sz w:val="24"/>
        </w:rPr>
      </w:pPr>
      <w:r>
        <w:rPr>
          <w:rFonts w:hint="eastAsia"/>
          <w:sz w:val="24"/>
        </w:rPr>
        <w:t>10.2.1</w:t>
      </w:r>
      <w:r>
        <w:rPr>
          <w:sz w:val="24"/>
        </w:rPr>
        <w:t>3</w:t>
      </w:r>
      <w:r>
        <w:rPr>
          <w:rFonts w:hint="eastAsia"/>
          <w:sz w:val="24"/>
        </w:rPr>
        <w:t xml:space="preserve"> 项目总价为磋商供应商在响应文件中提出的各项支付金额的总和，为实施、完成采购工程并修补缺陷以及履行竞争性磋商文件中约定的风险范围内的所有责任和义务所发生的全部费用。</w:t>
      </w:r>
    </w:p>
    <w:p>
      <w:pPr>
        <w:tabs>
          <w:tab w:val="left" w:pos="1980"/>
        </w:tabs>
        <w:snapToGrid w:val="0"/>
        <w:spacing w:line="360" w:lineRule="auto"/>
        <w:ind w:firstLine="480" w:firstLineChars="200"/>
        <w:rPr>
          <w:sz w:val="24"/>
        </w:rPr>
      </w:pPr>
      <w:r>
        <w:rPr>
          <w:rFonts w:hint="eastAsia"/>
          <w:sz w:val="24"/>
        </w:rPr>
        <w:t>10.2.1</w:t>
      </w:r>
      <w:r>
        <w:rPr>
          <w:sz w:val="24"/>
        </w:rPr>
        <w:t>4</w:t>
      </w:r>
      <w:r>
        <w:rPr>
          <w:rFonts w:hint="eastAsia"/>
          <w:sz w:val="24"/>
        </w:rPr>
        <w:t xml:space="preserve"> 有关报价的其他说明：详见招标控制价（最高限价）编制说明（如有）。</w:t>
      </w:r>
    </w:p>
    <w:p>
      <w:pPr>
        <w:tabs>
          <w:tab w:val="left" w:pos="1080"/>
          <w:tab w:val="left" w:pos="1589"/>
          <w:tab w:val="left" w:pos="2014"/>
        </w:tabs>
        <w:snapToGrid w:val="0"/>
        <w:spacing w:line="360" w:lineRule="auto"/>
        <w:ind w:firstLine="480" w:firstLineChars="200"/>
        <w:rPr>
          <w:sz w:val="24"/>
        </w:rPr>
      </w:pPr>
      <w:r>
        <w:rPr>
          <w:sz w:val="24"/>
        </w:rPr>
        <w:t xml:space="preserve">10.3 </w:t>
      </w:r>
      <w:r>
        <w:rPr>
          <w:rFonts w:hint="eastAsia"/>
          <w:sz w:val="24"/>
          <w:lang w:eastAsia="zh-CN"/>
        </w:rPr>
        <w:t>采购人</w:t>
      </w:r>
      <w:r>
        <w:rPr>
          <w:sz w:val="24"/>
        </w:rPr>
        <w:t>不得向供应商索要或者接受其给予的赠品、回扣或者与采购无关的其他商品、服务。</w:t>
      </w:r>
    </w:p>
    <w:p>
      <w:pPr>
        <w:tabs>
          <w:tab w:val="left" w:pos="1080"/>
          <w:tab w:val="left" w:pos="1589"/>
          <w:tab w:val="left" w:pos="2014"/>
        </w:tabs>
        <w:snapToGrid w:val="0"/>
        <w:spacing w:line="360" w:lineRule="auto"/>
        <w:ind w:firstLine="480" w:firstLineChars="200"/>
        <w:rPr>
          <w:sz w:val="24"/>
        </w:rPr>
      </w:pPr>
      <w:r>
        <w:rPr>
          <w:rFonts w:hint="eastAsia"/>
          <w:sz w:val="24"/>
        </w:rPr>
        <w:t>1</w:t>
      </w:r>
      <w:r>
        <w:rPr>
          <w:sz w:val="24"/>
        </w:rPr>
        <w:t>0.4 供应商不能提供任何有选择性或可调整的最终报价（</w:t>
      </w:r>
      <w:r>
        <w:rPr>
          <w:color w:val="000000"/>
          <w:kern w:val="0"/>
          <w:sz w:val="24"/>
        </w:rPr>
        <w:t>竞争性磋商文件</w:t>
      </w:r>
      <w:r>
        <w:rPr>
          <w:sz w:val="24"/>
        </w:rPr>
        <w:t>另有规定的除外），否则其</w:t>
      </w:r>
      <w:r>
        <w:rPr>
          <w:b/>
          <w:sz w:val="24"/>
        </w:rPr>
        <w:t>响应无效</w:t>
      </w:r>
      <w:r>
        <w:rPr>
          <w:sz w:val="24"/>
        </w:rPr>
        <w:t>。</w:t>
      </w:r>
    </w:p>
    <w:p>
      <w:pPr>
        <w:numPr>
          <w:ilvl w:val="0"/>
          <w:numId w:val="13"/>
        </w:numPr>
        <w:tabs>
          <w:tab w:val="left" w:pos="360"/>
          <w:tab w:val="left" w:pos="900"/>
        </w:tabs>
        <w:snapToGrid w:val="0"/>
        <w:spacing w:line="360" w:lineRule="auto"/>
        <w:ind w:left="357" w:hanging="357"/>
        <w:outlineLvl w:val="1"/>
        <w:rPr>
          <w:b/>
          <w:bCs/>
          <w:sz w:val="24"/>
          <w:highlight w:val="none"/>
        </w:rPr>
      </w:pPr>
      <w:r>
        <w:rPr>
          <w:b/>
          <w:bCs/>
          <w:sz w:val="24"/>
          <w:highlight w:val="none"/>
        </w:rPr>
        <w:t>磋商保证金</w:t>
      </w:r>
    </w:p>
    <w:p>
      <w:pPr>
        <w:tabs>
          <w:tab w:val="left" w:pos="360"/>
        </w:tabs>
        <w:snapToGrid w:val="0"/>
        <w:spacing w:line="360" w:lineRule="auto"/>
        <w:ind w:firstLine="360" w:firstLineChars="150"/>
        <w:outlineLvl w:val="1"/>
        <w:rPr>
          <w:sz w:val="24"/>
          <w:highlight w:val="none"/>
        </w:rPr>
      </w:pPr>
      <w:r>
        <w:rPr>
          <w:rFonts w:hint="eastAsia"/>
          <w:sz w:val="24"/>
          <w:highlight w:val="none"/>
        </w:rPr>
        <w:t>根据江苏省和常州市的相关文件规定，免收保证金。</w:t>
      </w:r>
    </w:p>
    <w:p>
      <w:pPr>
        <w:numPr>
          <w:ilvl w:val="0"/>
          <w:numId w:val="13"/>
        </w:numPr>
        <w:tabs>
          <w:tab w:val="left" w:pos="360"/>
          <w:tab w:val="left" w:pos="900"/>
        </w:tabs>
        <w:snapToGrid w:val="0"/>
        <w:spacing w:line="360" w:lineRule="auto"/>
        <w:ind w:left="357" w:hanging="357"/>
        <w:outlineLvl w:val="1"/>
        <w:rPr>
          <w:b/>
          <w:bCs/>
          <w:sz w:val="24"/>
          <w:highlight w:val="none"/>
        </w:rPr>
      </w:pPr>
      <w:r>
        <w:rPr>
          <w:b/>
          <w:bCs/>
          <w:sz w:val="24"/>
          <w:highlight w:val="none"/>
        </w:rPr>
        <w:t>响应有效期</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2.1响应文件应在本竞争性磋商文件《供应商须知资料表》中规定的响应有效期内保持有效，响应有效期少于竞争性磋商文件规定期限的，其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pPr>
        <w:numPr>
          <w:ilvl w:val="0"/>
          <w:numId w:val="13"/>
        </w:numPr>
        <w:tabs>
          <w:tab w:val="left" w:pos="360"/>
          <w:tab w:val="left" w:pos="900"/>
        </w:tabs>
        <w:snapToGrid w:val="0"/>
        <w:spacing w:line="360" w:lineRule="auto"/>
        <w:ind w:left="357" w:hanging="357"/>
        <w:outlineLvl w:val="1"/>
        <w:rPr>
          <w:b/>
          <w:bCs/>
          <w:sz w:val="24"/>
          <w:highlight w:val="none"/>
        </w:rPr>
      </w:pPr>
      <w:bookmarkStart w:id="306" w:name="_Toc226965723"/>
      <w:bookmarkStart w:id="307" w:name="_Toc305158875"/>
      <w:bookmarkStart w:id="308" w:name="_Toc520356158"/>
      <w:bookmarkStart w:id="309" w:name="_Toc150774633"/>
      <w:bookmarkStart w:id="310" w:name="_Toc151193921"/>
      <w:bookmarkStart w:id="311" w:name="_Toc151193847"/>
      <w:bookmarkStart w:id="312" w:name="_Toc150774738"/>
      <w:bookmarkStart w:id="313" w:name="_Toc164229374"/>
      <w:bookmarkStart w:id="314" w:name="_Toc150480771"/>
      <w:bookmarkStart w:id="315" w:name="_Toc164608647"/>
      <w:bookmarkStart w:id="316" w:name="_Toc127161447"/>
      <w:bookmarkStart w:id="317" w:name="_Toc226309777"/>
      <w:bookmarkStart w:id="318" w:name="_Toc149720826"/>
      <w:bookmarkStart w:id="319" w:name="_Toc151193703"/>
      <w:bookmarkStart w:id="320" w:name="_Toc164351627"/>
      <w:bookmarkStart w:id="321" w:name="_Toc195842898"/>
      <w:bookmarkStart w:id="322" w:name="_Toc164608802"/>
      <w:bookmarkStart w:id="323" w:name="_Toc305158801"/>
      <w:bookmarkStart w:id="324" w:name="_Toc127151533"/>
      <w:bookmarkStart w:id="325" w:name="_Toc150509284"/>
      <w:bookmarkStart w:id="326" w:name="_Toc151190160"/>
      <w:bookmarkStart w:id="327" w:name="_Toc265228371"/>
      <w:bookmarkStart w:id="328" w:name="_Toc226337229"/>
      <w:bookmarkStart w:id="329" w:name="_Toc226965806"/>
      <w:bookmarkStart w:id="330" w:name="_Toc142311035"/>
      <w:bookmarkStart w:id="331" w:name="_Toc164229228"/>
      <w:bookmarkStart w:id="332" w:name="_Toc151193631"/>
      <w:bookmarkStart w:id="333" w:name="_Toc264969223"/>
      <w:bookmarkStart w:id="334" w:name="_Toc151193775"/>
      <w:bookmarkStart w:id="335" w:name="_Toc127151734"/>
      <w:r>
        <w:rPr>
          <w:b/>
          <w:bCs/>
          <w:sz w:val="24"/>
          <w:highlight w:val="none"/>
        </w:rPr>
        <w:t>响应文件的签署</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b/>
          <w:bCs/>
          <w:sz w:val="24"/>
          <w:highlight w:val="none"/>
        </w:rPr>
        <w:t>、盖章</w:t>
      </w:r>
    </w:p>
    <w:p>
      <w:pPr>
        <w:tabs>
          <w:tab w:val="left" w:pos="1080"/>
          <w:tab w:val="left" w:pos="1589"/>
        </w:tabs>
        <w:snapToGrid w:val="0"/>
        <w:spacing w:line="360" w:lineRule="auto"/>
        <w:ind w:firstLine="480" w:firstLineChars="200"/>
        <w:rPr>
          <w:sz w:val="24"/>
          <w:highlight w:val="none"/>
        </w:rPr>
      </w:pPr>
      <w:bookmarkStart w:id="336" w:name="_Toc142311036"/>
      <w:bookmarkStart w:id="337" w:name="_Toc520356159"/>
      <w:bookmarkStart w:id="338" w:name="_Toc151193632"/>
      <w:bookmarkStart w:id="339" w:name="_Toc151190161"/>
      <w:bookmarkStart w:id="340" w:name="_Toc265228372"/>
      <w:bookmarkStart w:id="341" w:name="_Toc150480772"/>
      <w:bookmarkStart w:id="342" w:name="_Toc226965724"/>
      <w:bookmarkStart w:id="343" w:name="_Toc305158876"/>
      <w:bookmarkStart w:id="344" w:name="_Toc226965807"/>
      <w:bookmarkStart w:id="345" w:name="_Toc226309778"/>
      <w:bookmarkStart w:id="346" w:name="_Toc305158802"/>
      <w:bookmarkStart w:id="347" w:name="_Toc151193922"/>
      <w:bookmarkStart w:id="348" w:name="_Toc151193704"/>
      <w:bookmarkStart w:id="349" w:name="_Toc127151534"/>
      <w:bookmarkStart w:id="350" w:name="_Toc150774634"/>
      <w:bookmarkStart w:id="351" w:name="_Toc195842899"/>
      <w:bookmarkStart w:id="352" w:name="_Toc151193848"/>
      <w:bookmarkStart w:id="353" w:name="_Toc264969224"/>
      <w:bookmarkStart w:id="354" w:name="_Toc151193776"/>
      <w:bookmarkStart w:id="355" w:name="_Toc150509285"/>
      <w:bookmarkStart w:id="356" w:name="_Toc150774739"/>
      <w:bookmarkStart w:id="357" w:name="_Toc226337230"/>
      <w:r>
        <w:rPr>
          <w:rFonts w:hint="eastAsia"/>
          <w:sz w:val="24"/>
          <w:highlight w:val="none"/>
        </w:rPr>
        <w:t>1</w:t>
      </w:r>
      <w:r>
        <w:rPr>
          <w:sz w:val="24"/>
          <w:highlight w:val="none"/>
        </w:rPr>
        <w:t>3.1竞争性磋商文件要求签字的内容（如授权委托书等），供应商应按照要求，在规定的地方由供应商法定代表人（或其委托代理人）签字。</w:t>
      </w:r>
    </w:p>
    <w:p>
      <w:pPr>
        <w:tabs>
          <w:tab w:val="left" w:pos="1080"/>
          <w:tab w:val="left" w:pos="1589"/>
          <w:tab w:val="left" w:pos="2014"/>
        </w:tabs>
        <w:snapToGrid w:val="0"/>
        <w:spacing w:line="360" w:lineRule="auto"/>
        <w:ind w:firstLine="480" w:firstLineChars="200"/>
        <w:rPr>
          <w:sz w:val="24"/>
          <w:highlight w:val="none"/>
        </w:rPr>
      </w:pPr>
      <w:r>
        <w:rPr>
          <w:sz w:val="24"/>
          <w:highlight w:val="none"/>
        </w:rPr>
        <w:t>13.2竞争性磋商文件要求盖章的内容，供应商应按照要求</w:t>
      </w:r>
      <w:r>
        <w:rPr>
          <w:rFonts w:hint="eastAsia"/>
          <w:sz w:val="24"/>
          <w:highlight w:val="none"/>
        </w:rPr>
        <w:t>盖章</w:t>
      </w:r>
      <w:r>
        <w:rPr>
          <w:sz w:val="24"/>
          <w:highlight w:val="none"/>
        </w:rPr>
        <w:t>。</w:t>
      </w:r>
    </w:p>
    <w:p>
      <w:pPr>
        <w:tabs>
          <w:tab w:val="left" w:pos="900"/>
          <w:tab w:val="left" w:pos="1080"/>
        </w:tabs>
        <w:snapToGrid w:val="0"/>
        <w:spacing w:line="360" w:lineRule="auto"/>
        <w:ind w:left="357"/>
        <w:rPr>
          <w:highlight w:val="none"/>
        </w:rPr>
      </w:pPr>
    </w:p>
    <w:p>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四</w:t>
      </w:r>
      <w:r>
        <w:rPr>
          <w:rFonts w:hint="eastAsia" w:ascii="Times New Roman" w:hAnsi="Times New Roman" w:eastAsia="宋体"/>
          <w:sz w:val="28"/>
          <w:highlight w:val="none"/>
          <w:lang w:val="en-US" w:eastAsia="zh-CN"/>
        </w:rPr>
        <w:t xml:space="preserve"> </w:t>
      </w:r>
      <w:r>
        <w:rPr>
          <w:rFonts w:ascii="Times New Roman" w:hAnsi="Times New Roman" w:eastAsia="宋体"/>
          <w:sz w:val="28"/>
          <w:highlight w:val="none"/>
        </w:rPr>
        <w:t>响应文件的提交</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numPr>
          <w:ilvl w:val="0"/>
          <w:numId w:val="13"/>
        </w:numPr>
        <w:tabs>
          <w:tab w:val="left" w:pos="360"/>
          <w:tab w:val="left" w:pos="900"/>
        </w:tabs>
        <w:snapToGrid w:val="0"/>
        <w:spacing w:line="360" w:lineRule="auto"/>
        <w:ind w:left="357" w:hanging="357"/>
        <w:outlineLvl w:val="1"/>
        <w:rPr>
          <w:b/>
          <w:bCs/>
          <w:sz w:val="24"/>
          <w:highlight w:val="none"/>
        </w:rPr>
      </w:pPr>
      <w:bookmarkStart w:id="358" w:name="_Toc150509286"/>
      <w:bookmarkStart w:id="359" w:name="_Toc265228373"/>
      <w:bookmarkStart w:id="360" w:name="_Toc151193633"/>
      <w:bookmarkStart w:id="361" w:name="_Toc164229376"/>
      <w:bookmarkStart w:id="362" w:name="_Toc264969225"/>
      <w:bookmarkStart w:id="363" w:name="_Toc151190162"/>
      <w:bookmarkStart w:id="364" w:name="_Toc142311037"/>
      <w:bookmarkStart w:id="365" w:name="_Toc164608649"/>
      <w:bookmarkStart w:id="366" w:name="_Toc127161449"/>
      <w:bookmarkStart w:id="367" w:name="_Toc149720828"/>
      <w:bookmarkStart w:id="368" w:name="_Toc151193923"/>
      <w:bookmarkStart w:id="369" w:name="_Toc164229230"/>
      <w:bookmarkStart w:id="370" w:name="_Toc305158803"/>
      <w:bookmarkStart w:id="371" w:name="_Toc226309779"/>
      <w:bookmarkStart w:id="372" w:name="_Toc151193849"/>
      <w:bookmarkStart w:id="373" w:name="_Toc164351629"/>
      <w:bookmarkStart w:id="374" w:name="_Toc164608804"/>
      <w:bookmarkStart w:id="375" w:name="_Toc226965808"/>
      <w:bookmarkStart w:id="376" w:name="_Toc305158877"/>
      <w:bookmarkStart w:id="377" w:name="_Toc151193705"/>
      <w:bookmarkStart w:id="378" w:name="_Toc226337231"/>
      <w:bookmarkStart w:id="379" w:name="_Toc127151535"/>
      <w:bookmarkStart w:id="380" w:name="_Toc151193777"/>
      <w:bookmarkStart w:id="381" w:name="_Toc195842900"/>
      <w:bookmarkStart w:id="382" w:name="_Toc150774635"/>
      <w:bookmarkStart w:id="383" w:name="_Toc150480773"/>
      <w:bookmarkStart w:id="384" w:name="_Toc150774740"/>
      <w:bookmarkStart w:id="385" w:name="_Toc226965725"/>
      <w:bookmarkStart w:id="386" w:name="_Toc127151736"/>
      <w:bookmarkStart w:id="387" w:name="_Toc520356160"/>
      <w:r>
        <w:rPr>
          <w:b/>
          <w:bCs/>
          <w:sz w:val="24"/>
          <w:highlight w:val="none"/>
        </w:rPr>
        <w:t>响应文件的</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b/>
          <w:bCs/>
          <w:sz w:val="24"/>
          <w:highlight w:val="none"/>
        </w:rPr>
        <w:t>提交</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4.1供应商根据竞争性磋商文件要求编制、提交</w:t>
      </w:r>
      <w:r>
        <w:rPr>
          <w:rFonts w:hint="eastAsia"/>
          <w:sz w:val="24"/>
          <w:highlight w:val="none"/>
        </w:rPr>
        <w:t>纸质</w:t>
      </w:r>
      <w:r>
        <w:rPr>
          <w:sz w:val="24"/>
          <w:highlight w:val="none"/>
        </w:rPr>
        <w:t>响应文件。</w:t>
      </w:r>
      <w:r>
        <w:rPr>
          <w:rFonts w:ascii="宋体" w:hAnsi="宋体" w:cs="宋体"/>
          <w:b/>
          <w:bCs/>
          <w:kern w:val="0"/>
          <w:sz w:val="24"/>
          <w:highlight w:val="none"/>
        </w:rPr>
        <w:t>正本1份，副本2份</w:t>
      </w:r>
      <w:r>
        <w:rPr>
          <w:rFonts w:hint="eastAsia" w:ascii="宋体" w:hAnsi="宋体" w:cs="宋体"/>
          <w:b/>
          <w:bCs/>
          <w:kern w:val="0"/>
          <w:sz w:val="24"/>
          <w:highlight w:val="none"/>
        </w:rPr>
        <w:t>，电子光盘或U盘一份（含PDF格式全套正本磋商响应文件）。</w:t>
      </w:r>
      <w:r>
        <w:rPr>
          <w:rFonts w:ascii="宋体" w:hAnsi="宋体" w:cs="宋体"/>
          <w:kern w:val="0"/>
          <w:sz w:val="24"/>
          <w:highlight w:val="none"/>
        </w:rPr>
        <w:t>不论供应商成交与否，响应文件均不退回。</w:t>
      </w:r>
    </w:p>
    <w:p>
      <w:pPr>
        <w:tabs>
          <w:tab w:val="left" w:pos="1080"/>
          <w:tab w:val="left" w:pos="1589"/>
          <w:tab w:val="left" w:pos="2014"/>
        </w:tabs>
        <w:snapToGrid w:val="0"/>
        <w:spacing w:line="360" w:lineRule="auto"/>
        <w:ind w:firstLine="480" w:firstLineChars="200"/>
        <w:rPr>
          <w:sz w:val="24"/>
          <w:highlight w:val="none"/>
        </w:rPr>
      </w:pPr>
      <w:r>
        <w:rPr>
          <w:sz w:val="24"/>
          <w:highlight w:val="none"/>
        </w:rPr>
        <w:t>14.2</w:t>
      </w:r>
      <w:r>
        <w:rPr>
          <w:rFonts w:hint="eastAsia"/>
          <w:sz w:val="24"/>
          <w:highlight w:val="none"/>
          <w:lang w:eastAsia="zh-CN"/>
        </w:rPr>
        <w:t>采购人</w:t>
      </w:r>
      <w:r>
        <w:rPr>
          <w:sz w:val="24"/>
          <w:highlight w:val="none"/>
        </w:rPr>
        <w:t>及采购代理机构拒绝接受</w:t>
      </w:r>
      <w:r>
        <w:rPr>
          <w:rFonts w:hint="eastAsia"/>
          <w:sz w:val="24"/>
          <w:highlight w:val="none"/>
        </w:rPr>
        <w:t>纸质响应文件</w:t>
      </w:r>
      <w:r>
        <w:rPr>
          <w:sz w:val="24"/>
          <w:highlight w:val="none"/>
        </w:rPr>
        <w:t>以外提交的</w:t>
      </w:r>
      <w:r>
        <w:rPr>
          <w:rFonts w:hint="eastAsia"/>
          <w:sz w:val="24"/>
          <w:highlight w:val="none"/>
        </w:rPr>
        <w:t>其他</w:t>
      </w:r>
      <w:r>
        <w:rPr>
          <w:sz w:val="24"/>
          <w:highlight w:val="none"/>
        </w:rPr>
        <w:t>形式响应文件。</w:t>
      </w:r>
    </w:p>
    <w:p>
      <w:pPr>
        <w:numPr>
          <w:ilvl w:val="0"/>
          <w:numId w:val="13"/>
        </w:numPr>
        <w:tabs>
          <w:tab w:val="left" w:pos="360"/>
          <w:tab w:val="left" w:pos="900"/>
        </w:tabs>
        <w:snapToGrid w:val="0"/>
        <w:spacing w:line="360" w:lineRule="auto"/>
        <w:ind w:left="357" w:hanging="357"/>
        <w:outlineLvl w:val="1"/>
        <w:rPr>
          <w:b/>
          <w:bCs/>
          <w:sz w:val="24"/>
          <w:highlight w:val="none"/>
        </w:rPr>
      </w:pPr>
      <w:bookmarkStart w:id="388" w:name="_Toc520356161"/>
      <w:bookmarkStart w:id="389" w:name="_Toc151193634"/>
      <w:bookmarkStart w:id="390" w:name="_Toc226309780"/>
      <w:bookmarkStart w:id="391" w:name="_Toc151193706"/>
      <w:bookmarkStart w:id="392" w:name="_Toc305158804"/>
      <w:bookmarkStart w:id="393" w:name="_Toc127151737"/>
      <w:bookmarkStart w:id="394" w:name="_Toc149720829"/>
      <w:bookmarkStart w:id="395" w:name="_Toc164229231"/>
      <w:bookmarkStart w:id="396" w:name="_Toc151193778"/>
      <w:bookmarkStart w:id="397" w:name="_Toc164351630"/>
      <w:bookmarkStart w:id="398" w:name="_Toc226337232"/>
      <w:bookmarkStart w:id="399" w:name="_Toc226965726"/>
      <w:bookmarkStart w:id="400" w:name="_Toc195842901"/>
      <w:bookmarkStart w:id="401" w:name="_Toc305158878"/>
      <w:bookmarkStart w:id="402" w:name="_Toc127151536"/>
      <w:bookmarkStart w:id="403" w:name="_Toc142311038"/>
      <w:bookmarkStart w:id="404" w:name="_Toc151190163"/>
      <w:bookmarkStart w:id="405" w:name="_Toc150480774"/>
      <w:bookmarkStart w:id="406" w:name="_Toc150774741"/>
      <w:bookmarkStart w:id="407" w:name="_Toc127161450"/>
      <w:bookmarkStart w:id="408" w:name="_Toc164608650"/>
      <w:bookmarkStart w:id="409" w:name="_Toc264969226"/>
      <w:bookmarkStart w:id="410" w:name="_Toc265228374"/>
      <w:bookmarkStart w:id="411" w:name="_Toc164229377"/>
      <w:bookmarkStart w:id="412" w:name="_Toc150509287"/>
      <w:bookmarkStart w:id="413" w:name="_Toc150774636"/>
      <w:bookmarkStart w:id="414" w:name="_Toc164608805"/>
      <w:bookmarkStart w:id="415" w:name="_Toc151193924"/>
      <w:bookmarkStart w:id="416" w:name="_Toc226965809"/>
      <w:bookmarkStart w:id="417" w:name="_Toc151193850"/>
      <w:r>
        <w:rPr>
          <w:b/>
          <w:bCs/>
          <w:sz w:val="24"/>
          <w:highlight w:val="none"/>
        </w:rPr>
        <w:t>响应文件截止</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b/>
          <w:bCs/>
          <w:sz w:val="24"/>
          <w:highlight w:val="none"/>
        </w:rPr>
        <w:t>时间</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5.1供应商应在竞争性磋商文件要求提交响应文件截止时间前，将密封的响应文件送达</w:t>
      </w:r>
      <w:r>
        <w:rPr>
          <w:rFonts w:hint="eastAsia"/>
          <w:sz w:val="24"/>
          <w:highlight w:val="none"/>
        </w:rPr>
        <w:t>指定</w:t>
      </w:r>
      <w:r>
        <w:rPr>
          <w:sz w:val="24"/>
          <w:highlight w:val="none"/>
        </w:rPr>
        <w:t>地点。</w:t>
      </w:r>
    </w:p>
    <w:p>
      <w:pPr>
        <w:numPr>
          <w:ilvl w:val="0"/>
          <w:numId w:val="13"/>
        </w:numPr>
        <w:tabs>
          <w:tab w:val="left" w:pos="360"/>
          <w:tab w:val="left" w:pos="900"/>
        </w:tabs>
        <w:snapToGrid w:val="0"/>
        <w:spacing w:line="360" w:lineRule="auto"/>
        <w:ind w:left="357" w:hanging="357"/>
        <w:outlineLvl w:val="1"/>
        <w:rPr>
          <w:b/>
          <w:bCs/>
          <w:sz w:val="24"/>
          <w:highlight w:val="none"/>
        </w:rPr>
      </w:pPr>
      <w:bookmarkStart w:id="418" w:name="_Toc164229378"/>
      <w:bookmarkStart w:id="419" w:name="_Toc151193707"/>
      <w:bookmarkStart w:id="420" w:name="_Toc265228375"/>
      <w:bookmarkStart w:id="421" w:name="_Toc151193851"/>
      <w:bookmarkStart w:id="422" w:name="_Toc150509288"/>
      <w:bookmarkStart w:id="423" w:name="_Toc305158879"/>
      <w:bookmarkStart w:id="424" w:name="_Toc264969227"/>
      <w:bookmarkStart w:id="425" w:name="_Toc164229232"/>
      <w:bookmarkStart w:id="426" w:name="_Toc226337233"/>
      <w:bookmarkStart w:id="427" w:name="_Toc150774637"/>
      <w:bookmarkStart w:id="428" w:name="_Toc226965810"/>
      <w:bookmarkStart w:id="429" w:name="_Toc151193779"/>
      <w:bookmarkStart w:id="430" w:name="_Toc151193635"/>
      <w:bookmarkStart w:id="431" w:name="_Toc127151537"/>
      <w:bookmarkStart w:id="432" w:name="_Toc142311039"/>
      <w:bookmarkStart w:id="433" w:name="_Toc164351631"/>
      <w:bookmarkStart w:id="434" w:name="_Toc151190164"/>
      <w:bookmarkStart w:id="435" w:name="_Toc150774742"/>
      <w:bookmarkStart w:id="436" w:name="_Toc149720830"/>
      <w:bookmarkStart w:id="437" w:name="_Toc520356162"/>
      <w:bookmarkStart w:id="438" w:name="_Toc226309781"/>
      <w:bookmarkStart w:id="439" w:name="_Toc305158805"/>
      <w:bookmarkStart w:id="440" w:name="_Toc195842902"/>
      <w:bookmarkStart w:id="441" w:name="_Toc226965727"/>
      <w:bookmarkStart w:id="442" w:name="_Toc151193925"/>
      <w:bookmarkStart w:id="443" w:name="_Toc164608651"/>
      <w:bookmarkStart w:id="444" w:name="_Toc164608806"/>
      <w:bookmarkStart w:id="445" w:name="_Toc127161451"/>
      <w:bookmarkStart w:id="446" w:name="_Toc150480775"/>
      <w:bookmarkStart w:id="447" w:name="_Toc127151738"/>
      <w:r>
        <w:rPr>
          <w:b/>
          <w:bCs/>
          <w:sz w:val="24"/>
          <w:highlight w:val="none"/>
        </w:rPr>
        <w:t>响应文件的修改与撤回</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6.1提交响应文件截止时间前，供应商对所提交的响应文件可以补充、修改或者撤回，并书面通知招标代理机构</w:t>
      </w:r>
      <w:r>
        <w:rPr>
          <w:color w:val="000000"/>
          <w:sz w:val="24"/>
          <w:highlight w:val="none"/>
        </w:rPr>
        <w:t>。</w:t>
      </w:r>
    </w:p>
    <w:p>
      <w:pPr>
        <w:tabs>
          <w:tab w:val="left" w:pos="1080"/>
          <w:tab w:val="left" w:pos="1589"/>
          <w:tab w:val="left" w:pos="2014"/>
        </w:tabs>
        <w:snapToGrid w:val="0"/>
        <w:spacing w:line="360" w:lineRule="auto"/>
        <w:ind w:firstLine="480" w:firstLineChars="200"/>
        <w:rPr>
          <w:sz w:val="24"/>
          <w:highlight w:val="none"/>
        </w:rPr>
      </w:pPr>
      <w:r>
        <w:rPr>
          <w:sz w:val="24"/>
          <w:highlight w:val="none"/>
        </w:rPr>
        <w:t>16.2供应商对响应文件的补充、修改的内容应当按照竞争性磋商文件要求签署、盖章，作为响应文件的组成部分。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pPr>
        <w:tabs>
          <w:tab w:val="left" w:pos="900"/>
          <w:tab w:val="left" w:pos="1080"/>
          <w:tab w:val="left" w:pos="1589"/>
        </w:tabs>
        <w:snapToGrid w:val="0"/>
        <w:spacing w:line="360" w:lineRule="auto"/>
        <w:ind w:left="357"/>
        <w:rPr>
          <w:sz w:val="24"/>
          <w:highlight w:val="none"/>
        </w:rPr>
      </w:pPr>
    </w:p>
    <w:p>
      <w:pPr>
        <w:pStyle w:val="4"/>
        <w:spacing w:before="0" w:line="360" w:lineRule="auto"/>
        <w:rPr>
          <w:rFonts w:ascii="Times New Roman" w:hAnsi="Times New Roman" w:eastAsia="宋体"/>
          <w:sz w:val="28"/>
          <w:highlight w:val="none"/>
        </w:rPr>
      </w:pPr>
      <w:bookmarkStart w:id="448" w:name="_Toc142311040"/>
      <w:bookmarkStart w:id="449" w:name="_Toc305158806"/>
      <w:bookmarkStart w:id="450" w:name="_Toc127151538"/>
      <w:bookmarkStart w:id="451" w:name="_Toc151190165"/>
      <w:bookmarkStart w:id="452" w:name="_Toc195842903"/>
      <w:bookmarkStart w:id="453" w:name="_Toc151193926"/>
      <w:bookmarkStart w:id="454" w:name="_Toc151193780"/>
      <w:bookmarkStart w:id="455" w:name="_Toc226337234"/>
      <w:bookmarkStart w:id="456" w:name="_Toc264969228"/>
      <w:bookmarkStart w:id="457" w:name="_Toc151193852"/>
      <w:bookmarkStart w:id="458" w:name="_Toc151193708"/>
      <w:bookmarkStart w:id="459" w:name="_Toc226309782"/>
      <w:bookmarkStart w:id="460" w:name="_Toc151193636"/>
      <w:bookmarkStart w:id="461" w:name="_Toc226965728"/>
      <w:bookmarkStart w:id="462" w:name="_Toc150509289"/>
      <w:bookmarkStart w:id="463" w:name="_Toc305158880"/>
      <w:bookmarkStart w:id="464" w:name="_Toc520356163"/>
      <w:bookmarkStart w:id="465" w:name="_Toc226965811"/>
      <w:bookmarkStart w:id="466" w:name="_Toc150774743"/>
      <w:bookmarkStart w:id="467" w:name="_Toc265228376"/>
      <w:bookmarkStart w:id="468" w:name="_Toc150480776"/>
      <w:bookmarkStart w:id="469" w:name="_Toc150774638"/>
      <w:r>
        <w:rPr>
          <w:rFonts w:ascii="Times New Roman" w:hAnsi="Times New Roman" w:eastAsia="宋体"/>
          <w:sz w:val="28"/>
          <w:highlight w:val="none"/>
        </w:rPr>
        <w:t>五</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hint="eastAsia" w:ascii="Times New Roman" w:hAnsi="Times New Roman" w:eastAsia="宋体"/>
          <w:sz w:val="28"/>
          <w:highlight w:val="none"/>
          <w:lang w:val="en-US" w:eastAsia="zh-CN"/>
        </w:rPr>
        <w:t xml:space="preserve"> </w:t>
      </w:r>
      <w:r>
        <w:rPr>
          <w:rFonts w:ascii="Times New Roman" w:hAnsi="Times New Roman" w:eastAsia="宋体"/>
          <w:sz w:val="28"/>
          <w:highlight w:val="none"/>
        </w:rPr>
        <w:t>评审</w:t>
      </w:r>
    </w:p>
    <w:p>
      <w:pPr>
        <w:numPr>
          <w:ilvl w:val="0"/>
          <w:numId w:val="13"/>
        </w:numPr>
        <w:tabs>
          <w:tab w:val="left" w:pos="360"/>
          <w:tab w:val="left" w:pos="900"/>
        </w:tabs>
        <w:snapToGrid w:val="0"/>
        <w:spacing w:line="360" w:lineRule="auto"/>
        <w:ind w:left="357" w:hanging="357"/>
        <w:outlineLvl w:val="1"/>
        <w:rPr>
          <w:b/>
          <w:bCs/>
          <w:sz w:val="24"/>
          <w:highlight w:val="none"/>
        </w:rPr>
      </w:pPr>
      <w:r>
        <w:rPr>
          <w:b/>
          <w:bCs/>
          <w:sz w:val="24"/>
          <w:highlight w:val="none"/>
        </w:rPr>
        <w:t>响应文件的开启</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7.1</w:t>
      </w:r>
      <w:r>
        <w:rPr>
          <w:rFonts w:hint="eastAsia"/>
          <w:sz w:val="24"/>
          <w:highlight w:val="none"/>
          <w:lang w:eastAsia="zh-CN"/>
        </w:rPr>
        <w:t>采购人</w:t>
      </w:r>
      <w:r>
        <w:rPr>
          <w:sz w:val="24"/>
          <w:highlight w:val="none"/>
        </w:rPr>
        <w:t>或采购代理机构将按竞争性磋商文件的规定，在响应文件提交截止时间的同一时间和竞争性磋商文件预先确定的地点开启响应文件。</w:t>
      </w:r>
    </w:p>
    <w:p>
      <w:pPr>
        <w:tabs>
          <w:tab w:val="left" w:pos="1080"/>
          <w:tab w:val="left" w:pos="1589"/>
          <w:tab w:val="left" w:pos="2014"/>
        </w:tabs>
        <w:snapToGrid w:val="0"/>
        <w:spacing w:line="360" w:lineRule="auto"/>
        <w:ind w:firstLine="480" w:firstLineChars="200"/>
        <w:rPr>
          <w:sz w:val="24"/>
          <w:highlight w:val="none"/>
        </w:rPr>
      </w:pPr>
      <w:r>
        <w:rPr>
          <w:sz w:val="24"/>
          <w:highlight w:val="none"/>
        </w:rPr>
        <w:t>17.2供应商不足3家的，不予</w:t>
      </w:r>
      <w:r>
        <w:rPr>
          <w:rFonts w:hint="eastAsia"/>
          <w:sz w:val="24"/>
          <w:highlight w:val="none"/>
        </w:rPr>
        <w:t>开启</w:t>
      </w:r>
      <w:r>
        <w:rPr>
          <w:sz w:val="24"/>
          <w:highlight w:val="none"/>
        </w:rPr>
        <w:t>。</w:t>
      </w:r>
    </w:p>
    <w:p>
      <w:pPr>
        <w:tabs>
          <w:tab w:val="left" w:pos="1080"/>
          <w:tab w:val="left" w:pos="1589"/>
          <w:tab w:val="left" w:pos="2014"/>
        </w:tabs>
        <w:snapToGrid w:val="0"/>
        <w:spacing w:line="360" w:lineRule="auto"/>
        <w:ind w:firstLine="480" w:firstLineChars="200"/>
        <w:rPr>
          <w:sz w:val="24"/>
          <w:highlight w:val="none"/>
        </w:rPr>
      </w:pPr>
      <w:bookmarkStart w:id="470" w:name="_Toc520356165"/>
      <w:r>
        <w:rPr>
          <w:sz w:val="24"/>
          <w:highlight w:val="none"/>
        </w:rPr>
        <w:t>17.3本项目不公开报价。</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7.4</w:t>
      </w:r>
      <w:r>
        <w:rPr>
          <w:rFonts w:hint="eastAsia"/>
          <w:sz w:val="24"/>
          <w:highlight w:val="none"/>
        </w:rPr>
        <w:t>供应商</w:t>
      </w:r>
      <w:r>
        <w:rPr>
          <w:sz w:val="24"/>
          <w:highlight w:val="none"/>
        </w:rPr>
        <w:t>需</w:t>
      </w:r>
      <w:r>
        <w:rPr>
          <w:rFonts w:hint="eastAsia"/>
          <w:sz w:val="24"/>
          <w:highlight w:val="none"/>
        </w:rPr>
        <w:t>要驻留磋商现场或</w:t>
      </w:r>
      <w:r>
        <w:rPr>
          <w:sz w:val="24"/>
          <w:highlight w:val="none"/>
        </w:rPr>
        <w:t>保持</w:t>
      </w:r>
      <w:r>
        <w:rPr>
          <w:rFonts w:hint="eastAsia"/>
          <w:sz w:val="24"/>
          <w:highlight w:val="none"/>
        </w:rPr>
        <w:t>手机畅通，及时对于磋商小组发出的指令和要求进行响应。如果因为无法正常联系造成不能及时回应磋商小组指令和要求从而导致影响开标、评审结果的，责任由供应商承担</w:t>
      </w:r>
      <w:r>
        <w:rPr>
          <w:sz w:val="24"/>
          <w:highlight w:val="none"/>
        </w:rPr>
        <w:t>。</w:t>
      </w:r>
    </w:p>
    <w:bookmarkEnd w:id="470"/>
    <w:p>
      <w:pPr>
        <w:numPr>
          <w:ilvl w:val="0"/>
          <w:numId w:val="13"/>
        </w:numPr>
        <w:tabs>
          <w:tab w:val="left" w:pos="360"/>
          <w:tab w:val="left" w:pos="900"/>
        </w:tabs>
        <w:snapToGrid w:val="0"/>
        <w:spacing w:line="360" w:lineRule="auto"/>
        <w:ind w:left="357" w:hanging="357"/>
        <w:outlineLvl w:val="1"/>
        <w:rPr>
          <w:b/>
          <w:bCs/>
          <w:sz w:val="24"/>
          <w:highlight w:val="none"/>
        </w:rPr>
      </w:pPr>
      <w:r>
        <w:rPr>
          <w:b/>
          <w:bCs/>
          <w:sz w:val="24"/>
          <w:highlight w:val="none"/>
        </w:rPr>
        <w:t>磋商小组</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8.1磋商小组根据政府采购有关规定和本次采购项目的特点进行组建，并负责具体评审事务，独立履行职责。</w:t>
      </w:r>
      <w:bookmarkStart w:id="471" w:name="_Toc520356166"/>
    </w:p>
    <w:p>
      <w:pPr>
        <w:tabs>
          <w:tab w:val="left" w:pos="1080"/>
          <w:tab w:val="left" w:pos="1589"/>
          <w:tab w:val="left" w:pos="2014"/>
        </w:tabs>
        <w:snapToGrid w:val="0"/>
        <w:spacing w:line="360" w:lineRule="auto"/>
        <w:ind w:firstLine="480" w:firstLineChars="200"/>
        <w:rPr>
          <w:sz w:val="24"/>
          <w:highlight w:val="none"/>
        </w:rPr>
      </w:pPr>
      <w:r>
        <w:rPr>
          <w:sz w:val="24"/>
          <w:highlight w:val="none"/>
        </w:rPr>
        <w:t>18.2评审专家须符合</w:t>
      </w:r>
      <w:r>
        <w:rPr>
          <w:rFonts w:hint="eastAsia"/>
          <w:sz w:val="24"/>
          <w:highlight w:val="none"/>
        </w:rPr>
        <w:t>相关</w:t>
      </w:r>
      <w:r>
        <w:rPr>
          <w:sz w:val="24"/>
          <w:highlight w:val="none"/>
        </w:rPr>
        <w:t>规定。依法自行选定评审专家的，</w:t>
      </w:r>
      <w:r>
        <w:rPr>
          <w:rFonts w:hint="eastAsia"/>
          <w:sz w:val="24"/>
          <w:highlight w:val="none"/>
          <w:lang w:eastAsia="zh-CN"/>
        </w:rPr>
        <w:t>采购人</w:t>
      </w:r>
      <w:r>
        <w:rPr>
          <w:sz w:val="24"/>
          <w:highlight w:val="none"/>
        </w:rPr>
        <w:t>和采购代理机构将查询有关信用记录，对具有行贿、受贿、欺诈等不良信用记录的人员，拒绝其参与政府采购活动。</w:t>
      </w:r>
      <w:bookmarkEnd w:id="471"/>
      <w:bookmarkStart w:id="472" w:name="_Toc520356169"/>
    </w:p>
    <w:p>
      <w:pPr>
        <w:numPr>
          <w:ilvl w:val="0"/>
          <w:numId w:val="13"/>
        </w:numPr>
        <w:tabs>
          <w:tab w:val="left" w:pos="360"/>
          <w:tab w:val="left" w:pos="900"/>
        </w:tabs>
        <w:snapToGrid w:val="0"/>
        <w:spacing w:line="360" w:lineRule="auto"/>
        <w:outlineLvl w:val="1"/>
        <w:rPr>
          <w:b/>
          <w:bCs/>
          <w:sz w:val="24"/>
          <w:highlight w:val="none"/>
        </w:rPr>
      </w:pPr>
      <w:r>
        <w:rPr>
          <w:b/>
          <w:bCs/>
          <w:sz w:val="24"/>
          <w:highlight w:val="none"/>
        </w:rPr>
        <w:t>评审方法和评审标准</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w:t>
      </w:r>
      <w:r>
        <w:rPr>
          <w:sz w:val="24"/>
          <w:highlight w:val="none"/>
        </w:rPr>
        <w:t>9.1见第三章《评审方法和评审标准》。</w:t>
      </w:r>
    </w:p>
    <w:p>
      <w:pPr>
        <w:tabs>
          <w:tab w:val="left" w:pos="360"/>
          <w:tab w:val="left" w:pos="1080"/>
        </w:tabs>
        <w:snapToGrid w:val="0"/>
        <w:spacing w:line="360" w:lineRule="auto"/>
        <w:ind w:left="1080"/>
        <w:rPr>
          <w:sz w:val="24"/>
          <w:highlight w:val="none"/>
        </w:rPr>
      </w:pPr>
    </w:p>
    <w:p>
      <w:pPr>
        <w:pStyle w:val="4"/>
        <w:spacing w:before="0" w:line="360" w:lineRule="auto"/>
        <w:rPr>
          <w:rFonts w:ascii="Times New Roman" w:hAnsi="Times New Roman" w:eastAsia="宋体"/>
          <w:sz w:val="28"/>
          <w:highlight w:val="none"/>
        </w:rPr>
      </w:pPr>
      <w:bookmarkStart w:id="473" w:name="_Toc150480783"/>
      <w:bookmarkStart w:id="474" w:name="_Toc151190172"/>
      <w:bookmarkStart w:id="475" w:name="_Toc305158813"/>
      <w:bookmarkStart w:id="476" w:name="_Toc151193643"/>
      <w:bookmarkStart w:id="477" w:name="_Toc151193787"/>
      <w:bookmarkStart w:id="478" w:name="_Toc226965735"/>
      <w:bookmarkStart w:id="479" w:name="_Toc265228383"/>
      <w:bookmarkStart w:id="480" w:name="_Toc150774750"/>
      <w:bookmarkStart w:id="481" w:name="_Toc150774645"/>
      <w:bookmarkStart w:id="482" w:name="_Toc142311047"/>
      <w:bookmarkStart w:id="483" w:name="_Toc195842910"/>
      <w:bookmarkStart w:id="484" w:name="_Toc151193859"/>
      <w:bookmarkStart w:id="485" w:name="_Toc151193715"/>
      <w:bookmarkStart w:id="486" w:name="_Toc127151545"/>
      <w:bookmarkStart w:id="487" w:name="_Toc264969235"/>
      <w:bookmarkStart w:id="488" w:name="_Toc226965818"/>
      <w:bookmarkStart w:id="489" w:name="_Toc305158887"/>
      <w:bookmarkStart w:id="490" w:name="_Toc151193933"/>
      <w:bookmarkStart w:id="491" w:name="_Toc226337241"/>
      <w:bookmarkStart w:id="492" w:name="_Toc226309789"/>
      <w:bookmarkStart w:id="493" w:name="_Toc150509296"/>
      <w:r>
        <w:rPr>
          <w:rFonts w:ascii="Times New Roman" w:hAnsi="Times New Roman" w:eastAsia="宋体"/>
          <w:sz w:val="28"/>
          <w:highlight w:val="none"/>
        </w:rPr>
        <w:t>六</w:t>
      </w:r>
      <w:bookmarkEnd w:id="472"/>
      <w:r>
        <w:rPr>
          <w:rFonts w:hint="eastAsia" w:ascii="Times New Roman" w:hAnsi="Times New Roman" w:eastAsia="宋体"/>
          <w:sz w:val="28"/>
          <w:highlight w:val="none"/>
          <w:lang w:val="en-US" w:eastAsia="zh-CN"/>
        </w:rPr>
        <w:t xml:space="preserve"> </w:t>
      </w:r>
      <w:r>
        <w:rPr>
          <w:rFonts w:ascii="Times New Roman" w:hAnsi="Times New Roman" w:eastAsia="宋体"/>
          <w:sz w:val="28"/>
          <w:highlight w:val="none"/>
        </w:rPr>
        <w:t>确定</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ascii="Times New Roman" w:hAnsi="Times New Roman" w:eastAsia="宋体"/>
          <w:sz w:val="28"/>
          <w:highlight w:val="none"/>
        </w:rPr>
        <w:t>成交</w:t>
      </w:r>
    </w:p>
    <w:p>
      <w:pPr>
        <w:numPr>
          <w:ilvl w:val="0"/>
          <w:numId w:val="13"/>
        </w:numPr>
        <w:tabs>
          <w:tab w:val="left" w:pos="360"/>
          <w:tab w:val="left" w:pos="900"/>
        </w:tabs>
        <w:snapToGrid w:val="0"/>
        <w:spacing w:line="360" w:lineRule="auto"/>
        <w:ind w:left="357" w:hanging="357"/>
        <w:outlineLvl w:val="1"/>
        <w:rPr>
          <w:b/>
          <w:bCs/>
          <w:sz w:val="24"/>
          <w:highlight w:val="none"/>
        </w:rPr>
      </w:pPr>
      <w:bookmarkStart w:id="494" w:name="_Toc305158889"/>
      <w:bookmarkStart w:id="495" w:name="_Toc226965737"/>
      <w:bookmarkStart w:id="496" w:name="_Toc151193645"/>
      <w:bookmarkStart w:id="497" w:name="_Toc151193717"/>
      <w:bookmarkStart w:id="498" w:name="_Toc164608816"/>
      <w:bookmarkStart w:id="499" w:name="_Toc164229388"/>
      <w:bookmarkStart w:id="500" w:name="_Toc150480785"/>
      <w:bookmarkStart w:id="501" w:name="_Toc142311049"/>
      <w:bookmarkStart w:id="502" w:name="_Toc305158815"/>
      <w:bookmarkStart w:id="503" w:name="_Toc195842912"/>
      <w:bookmarkStart w:id="504" w:name="_Toc164351641"/>
      <w:bookmarkStart w:id="505" w:name="_Toc226337243"/>
      <w:bookmarkStart w:id="506" w:name="_Toc164608661"/>
      <w:bookmarkStart w:id="507" w:name="_Toc150774647"/>
      <w:bookmarkStart w:id="508" w:name="_Toc226309791"/>
      <w:bookmarkStart w:id="509" w:name="_Toc151193935"/>
      <w:bookmarkStart w:id="510" w:name="_Toc151190174"/>
      <w:bookmarkStart w:id="511" w:name="_Toc127151547"/>
      <w:bookmarkStart w:id="512" w:name="_Toc127151748"/>
      <w:bookmarkStart w:id="513" w:name="_Toc150509298"/>
      <w:bookmarkStart w:id="514" w:name="_Toc264969237"/>
      <w:bookmarkStart w:id="515" w:name="_Toc150774752"/>
      <w:bookmarkStart w:id="516" w:name="_Toc265228385"/>
      <w:bookmarkStart w:id="517" w:name="_Toc164229242"/>
      <w:bookmarkStart w:id="518" w:name="_Toc226965820"/>
      <w:bookmarkStart w:id="519" w:name="_Toc151193789"/>
      <w:bookmarkStart w:id="520" w:name="_Toc149720840"/>
      <w:bookmarkStart w:id="521" w:name="_Toc127161461"/>
      <w:bookmarkStart w:id="522" w:name="_Toc151193861"/>
      <w:r>
        <w:rPr>
          <w:b/>
          <w:bCs/>
          <w:sz w:val="24"/>
          <w:highlight w:val="none"/>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0.1</w:t>
      </w:r>
      <w:r>
        <w:rPr>
          <w:rFonts w:hint="eastAsia"/>
          <w:sz w:val="24"/>
          <w:highlight w:val="none"/>
          <w:lang w:eastAsia="zh-CN"/>
        </w:rPr>
        <w:t>采购人</w:t>
      </w:r>
      <w:r>
        <w:rPr>
          <w:sz w:val="24"/>
          <w:highlight w:val="none"/>
        </w:rPr>
        <w:t>将在收到评审报告后，从评审报告提出的成交候选供应商中，按照排序由高到低的原则确定成交供应商</w:t>
      </w:r>
      <w:r>
        <w:rPr>
          <w:rFonts w:hint="eastAsia"/>
          <w:sz w:val="24"/>
          <w:highlight w:val="none"/>
        </w:rPr>
        <w:t>。</w:t>
      </w:r>
      <w:r>
        <w:rPr>
          <w:sz w:val="24"/>
          <w:highlight w:val="none"/>
        </w:rPr>
        <w:t>成交候选人并列的，由</w:t>
      </w:r>
      <w:r>
        <w:rPr>
          <w:rFonts w:hint="eastAsia"/>
          <w:sz w:val="24"/>
          <w:highlight w:val="none"/>
          <w:lang w:eastAsia="zh-CN"/>
        </w:rPr>
        <w:t>采购人</w:t>
      </w:r>
      <w:r>
        <w:rPr>
          <w:rFonts w:hint="eastAsia"/>
          <w:sz w:val="24"/>
          <w:highlight w:val="none"/>
        </w:rPr>
        <w:t>依法</w:t>
      </w:r>
      <w:r>
        <w:rPr>
          <w:sz w:val="24"/>
          <w:highlight w:val="none"/>
        </w:rPr>
        <w:t>确定。</w:t>
      </w:r>
    </w:p>
    <w:p>
      <w:pPr>
        <w:numPr>
          <w:ilvl w:val="0"/>
          <w:numId w:val="13"/>
        </w:numPr>
        <w:tabs>
          <w:tab w:val="left" w:pos="360"/>
          <w:tab w:val="left" w:pos="900"/>
        </w:tabs>
        <w:snapToGrid w:val="0"/>
        <w:spacing w:line="360" w:lineRule="auto"/>
        <w:ind w:left="357" w:hanging="357"/>
        <w:outlineLvl w:val="1"/>
        <w:rPr>
          <w:b/>
          <w:bCs/>
          <w:sz w:val="24"/>
          <w:highlight w:val="none"/>
        </w:rPr>
      </w:pPr>
      <w:bookmarkStart w:id="523" w:name="_Toc305158817"/>
      <w:bookmarkStart w:id="524" w:name="_Toc305158891"/>
      <w:bookmarkStart w:id="525" w:name="_Toc127151750"/>
      <w:bookmarkStart w:id="526" w:name="_Toc195842914"/>
      <w:bookmarkStart w:id="527" w:name="_Toc150509300"/>
      <w:bookmarkStart w:id="528" w:name="_Toc151193937"/>
      <w:bookmarkStart w:id="529" w:name="_Toc164229244"/>
      <w:bookmarkStart w:id="530" w:name="_Toc150480787"/>
      <w:bookmarkStart w:id="531" w:name="_Toc164608818"/>
      <w:bookmarkStart w:id="532" w:name="_Toc151193719"/>
      <w:bookmarkStart w:id="533" w:name="_Toc151193791"/>
      <w:bookmarkStart w:id="534" w:name="_Toc226965822"/>
      <w:bookmarkStart w:id="535" w:name="_Toc150774754"/>
      <w:bookmarkStart w:id="536" w:name="_Toc226309793"/>
      <w:bookmarkStart w:id="537" w:name="_Toc149720842"/>
      <w:bookmarkStart w:id="538" w:name="_Toc142311051"/>
      <w:bookmarkStart w:id="539" w:name="_Toc150774649"/>
      <w:bookmarkStart w:id="540" w:name="_Toc264969239"/>
      <w:bookmarkStart w:id="541" w:name="_Toc151193863"/>
      <w:bookmarkStart w:id="542" w:name="_Toc127151549"/>
      <w:bookmarkStart w:id="543" w:name="_Toc151193647"/>
      <w:bookmarkStart w:id="544" w:name="_Toc164608663"/>
      <w:bookmarkStart w:id="545" w:name="_Toc265228387"/>
      <w:bookmarkStart w:id="546" w:name="_Toc164229390"/>
      <w:bookmarkStart w:id="547" w:name="_Toc226965739"/>
      <w:bookmarkStart w:id="548" w:name="_Toc226337245"/>
      <w:bookmarkStart w:id="549" w:name="_Toc151190176"/>
      <w:bookmarkStart w:id="550" w:name="_Toc127161463"/>
      <w:bookmarkStart w:id="551" w:name="_Toc164351643"/>
      <w:bookmarkStart w:id="552" w:name="_Toc520356176"/>
      <w:bookmarkStart w:id="553" w:name="_Ref467306425"/>
      <w:bookmarkStart w:id="554" w:name="_Ref467307090"/>
      <w:r>
        <w:rPr>
          <w:b/>
          <w:bCs/>
          <w:sz w:val="24"/>
          <w:highlight w:val="none"/>
        </w:rPr>
        <w:t>成交公告与成交通知书</w:t>
      </w:r>
      <w:bookmarkEnd w:id="523"/>
      <w:bookmarkEnd w:id="524"/>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1.1</w:t>
      </w:r>
      <w:r>
        <w:rPr>
          <w:rFonts w:hint="eastAsia"/>
          <w:sz w:val="24"/>
          <w:highlight w:val="none"/>
          <w:lang w:eastAsia="zh-CN"/>
        </w:rPr>
        <w:t>采购人</w:t>
      </w:r>
      <w:r>
        <w:rPr>
          <w:sz w:val="24"/>
          <w:highlight w:val="none"/>
        </w:rPr>
        <w:t>或采购代理机构将</w:t>
      </w:r>
      <w:r>
        <w:rPr>
          <w:kern w:val="0"/>
          <w:sz w:val="24"/>
          <w:highlight w:val="none"/>
        </w:rPr>
        <w:t>在成交供应商确定后2个工作日内，在</w:t>
      </w:r>
      <w:r>
        <w:rPr>
          <w:rFonts w:hint="eastAsia"/>
          <w:sz w:val="24"/>
          <w:highlight w:val="none"/>
        </w:rPr>
        <w:t>江苏春为全过程工程咨询网站</w:t>
      </w:r>
      <w:r>
        <w:rPr>
          <w:kern w:val="0"/>
          <w:sz w:val="24"/>
          <w:highlight w:val="none"/>
        </w:rPr>
        <w:t>公告成交结果，同时向成交供应商发出成交通知书，</w:t>
      </w:r>
      <w:r>
        <w:rPr>
          <w:sz w:val="24"/>
          <w:highlight w:val="none"/>
        </w:rPr>
        <w:t>成交公告期限为1个工作日。</w:t>
      </w:r>
    </w:p>
    <w:p>
      <w:pPr>
        <w:tabs>
          <w:tab w:val="left" w:pos="1080"/>
          <w:tab w:val="left" w:pos="1589"/>
          <w:tab w:val="left" w:pos="2014"/>
        </w:tabs>
        <w:snapToGrid w:val="0"/>
        <w:spacing w:line="360" w:lineRule="auto"/>
        <w:ind w:firstLine="480" w:firstLineChars="200"/>
        <w:rPr>
          <w:sz w:val="24"/>
          <w:highlight w:val="none"/>
        </w:rPr>
      </w:pPr>
      <w:r>
        <w:rPr>
          <w:sz w:val="24"/>
          <w:highlight w:val="none"/>
        </w:rPr>
        <w:t>21.2成交通知书是合同的组成部分，对</w:t>
      </w:r>
      <w:r>
        <w:rPr>
          <w:rFonts w:hint="eastAsia"/>
          <w:sz w:val="24"/>
          <w:highlight w:val="none"/>
          <w:lang w:eastAsia="zh-CN"/>
        </w:rPr>
        <w:t>采购人</w:t>
      </w:r>
      <w:r>
        <w:rPr>
          <w:sz w:val="24"/>
          <w:highlight w:val="none"/>
        </w:rPr>
        <w:t>和成交供应商具有同等法律效力。成交通知书发出后，</w:t>
      </w:r>
      <w:r>
        <w:rPr>
          <w:rFonts w:hint="eastAsia"/>
          <w:sz w:val="24"/>
          <w:highlight w:val="none"/>
          <w:lang w:eastAsia="zh-CN"/>
        </w:rPr>
        <w:t>采购人</w:t>
      </w:r>
      <w:r>
        <w:rPr>
          <w:sz w:val="24"/>
          <w:highlight w:val="none"/>
        </w:rPr>
        <w:t>改变成交结果的，或者成交供应商放弃成交项目的，将依法承担法律责任</w:t>
      </w:r>
      <w:r>
        <w:rPr>
          <w:rFonts w:hint="eastAsia"/>
          <w:sz w:val="24"/>
          <w:highlight w:val="none"/>
        </w:rPr>
        <w:t>。</w:t>
      </w:r>
    </w:p>
    <w:p>
      <w:pPr>
        <w:numPr>
          <w:ilvl w:val="0"/>
          <w:numId w:val="13"/>
        </w:numPr>
        <w:tabs>
          <w:tab w:val="left" w:pos="360"/>
          <w:tab w:val="left" w:pos="900"/>
        </w:tabs>
        <w:snapToGrid w:val="0"/>
        <w:spacing w:line="360" w:lineRule="auto"/>
        <w:ind w:left="357" w:hanging="357"/>
        <w:outlineLvl w:val="1"/>
        <w:rPr>
          <w:b/>
          <w:bCs/>
          <w:sz w:val="24"/>
          <w:highlight w:val="none"/>
        </w:rPr>
      </w:pPr>
      <w:r>
        <w:rPr>
          <w:b/>
          <w:bCs/>
          <w:sz w:val="24"/>
          <w:highlight w:val="none"/>
        </w:rPr>
        <w:t>终止</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2.1在采购中，出现下列情形之一的，</w:t>
      </w:r>
      <w:r>
        <w:rPr>
          <w:rFonts w:hint="eastAsia"/>
          <w:sz w:val="24"/>
          <w:highlight w:val="none"/>
          <w:lang w:eastAsia="zh-CN"/>
        </w:rPr>
        <w:t>采购人</w:t>
      </w:r>
      <w:r>
        <w:rPr>
          <w:sz w:val="24"/>
          <w:highlight w:val="none"/>
        </w:rPr>
        <w:t>或采购代理机构将终止竞争性磋商采购活动，发布项目终止公告并说明原因，重新开展采购活动：</w:t>
      </w:r>
    </w:p>
    <w:p>
      <w:pPr>
        <w:tabs>
          <w:tab w:val="left" w:pos="1980"/>
        </w:tabs>
        <w:snapToGrid w:val="0"/>
        <w:spacing w:line="360" w:lineRule="auto"/>
        <w:ind w:firstLine="480" w:firstLineChars="200"/>
        <w:rPr>
          <w:sz w:val="24"/>
          <w:highlight w:val="none"/>
        </w:rPr>
      </w:pPr>
      <w:r>
        <w:rPr>
          <w:rFonts w:hint="eastAsia"/>
          <w:sz w:val="24"/>
          <w:highlight w:val="none"/>
        </w:rPr>
        <w:t>2</w:t>
      </w:r>
      <w:r>
        <w:rPr>
          <w:sz w:val="24"/>
          <w:highlight w:val="none"/>
        </w:rPr>
        <w:t>2.1.1因情况变化，不再符合规定的竞争性磋商采购方式适用情形的；</w:t>
      </w:r>
    </w:p>
    <w:p>
      <w:pPr>
        <w:tabs>
          <w:tab w:val="left" w:pos="1980"/>
        </w:tabs>
        <w:snapToGrid w:val="0"/>
        <w:spacing w:line="360" w:lineRule="auto"/>
        <w:ind w:firstLine="480" w:firstLineChars="200"/>
        <w:rPr>
          <w:sz w:val="24"/>
          <w:highlight w:val="none"/>
        </w:rPr>
      </w:pPr>
      <w:r>
        <w:rPr>
          <w:sz w:val="24"/>
          <w:highlight w:val="none"/>
        </w:rPr>
        <w:t>22.1.2出现影响采购公正的违法、违规行为的；</w:t>
      </w:r>
    </w:p>
    <w:p>
      <w:pPr>
        <w:tabs>
          <w:tab w:val="left" w:pos="1980"/>
        </w:tabs>
        <w:snapToGrid w:val="0"/>
        <w:spacing w:line="360" w:lineRule="auto"/>
        <w:ind w:firstLine="480" w:firstLineChars="200"/>
        <w:rPr>
          <w:sz w:val="24"/>
          <w:highlight w:val="none"/>
        </w:rPr>
      </w:pPr>
      <w:r>
        <w:rPr>
          <w:snapToGrid w:val="0"/>
          <w:kern w:val="0"/>
          <w:sz w:val="24"/>
          <w:szCs w:val="20"/>
          <w:highlight w:val="none"/>
        </w:rPr>
        <w:t>22.1.3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Pr>
        <w:numPr>
          <w:ilvl w:val="0"/>
          <w:numId w:val="13"/>
        </w:numPr>
        <w:tabs>
          <w:tab w:val="left" w:pos="360"/>
          <w:tab w:val="left" w:pos="900"/>
        </w:tabs>
        <w:snapToGrid w:val="0"/>
        <w:spacing w:line="360" w:lineRule="auto"/>
        <w:ind w:left="357" w:hanging="357"/>
        <w:outlineLvl w:val="1"/>
        <w:rPr>
          <w:b/>
          <w:bCs/>
          <w:sz w:val="24"/>
          <w:highlight w:val="none"/>
        </w:rPr>
      </w:pPr>
      <w:bookmarkStart w:id="555" w:name="_Toc150774755"/>
      <w:bookmarkStart w:id="556" w:name="_Ref467307062"/>
      <w:bookmarkStart w:id="557" w:name="_Toc226337246"/>
      <w:bookmarkStart w:id="558" w:name="_Toc520356175"/>
      <w:bookmarkStart w:id="559" w:name="_Toc164229245"/>
      <w:bookmarkStart w:id="560" w:name="_Toc151193864"/>
      <w:bookmarkStart w:id="561" w:name="_Toc149720843"/>
      <w:bookmarkStart w:id="562" w:name="_Toc164229391"/>
      <w:bookmarkStart w:id="563" w:name="_Toc226965740"/>
      <w:bookmarkStart w:id="564" w:name="_Toc150774650"/>
      <w:bookmarkStart w:id="565" w:name="_Toc164608664"/>
      <w:bookmarkStart w:id="566" w:name="_Toc195842915"/>
      <w:bookmarkStart w:id="567" w:name="_Toc127151751"/>
      <w:bookmarkStart w:id="568" w:name="_Toc127151550"/>
      <w:bookmarkStart w:id="569" w:name="_Toc264969240"/>
      <w:bookmarkStart w:id="570" w:name="_Ref467307204"/>
      <w:bookmarkStart w:id="571" w:name="_Toc226965823"/>
      <w:bookmarkStart w:id="572" w:name="_Toc151193938"/>
      <w:bookmarkStart w:id="573" w:name="_Toc151193648"/>
      <w:bookmarkStart w:id="574" w:name="_Toc305158892"/>
      <w:bookmarkStart w:id="575" w:name="_Toc150509301"/>
      <w:bookmarkStart w:id="576" w:name="_Toc305158818"/>
      <w:bookmarkStart w:id="577" w:name="_Toc265228388"/>
      <w:bookmarkStart w:id="578" w:name="_Toc164608819"/>
      <w:bookmarkStart w:id="579" w:name="_Toc151193720"/>
      <w:bookmarkStart w:id="580" w:name="_Ref467306978"/>
      <w:bookmarkStart w:id="581" w:name="_Toc142311052"/>
      <w:bookmarkStart w:id="582" w:name="_Toc164351644"/>
      <w:bookmarkStart w:id="583" w:name="_Toc151193792"/>
      <w:bookmarkStart w:id="584" w:name="_Toc150480788"/>
      <w:bookmarkStart w:id="585" w:name="_Toc127161464"/>
      <w:bookmarkStart w:id="586" w:name="_Ref467306377"/>
      <w:bookmarkStart w:id="587" w:name="_Toc226309794"/>
      <w:bookmarkStart w:id="588" w:name="_Toc151190177"/>
      <w:r>
        <w:rPr>
          <w:b/>
          <w:bCs/>
          <w:sz w:val="24"/>
          <w:highlight w:val="none"/>
        </w:rPr>
        <w:t>签订合同</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3.1</w:t>
      </w:r>
      <w:r>
        <w:rPr>
          <w:rFonts w:hint="eastAsia"/>
          <w:sz w:val="24"/>
          <w:highlight w:val="none"/>
          <w:lang w:eastAsia="zh-CN"/>
        </w:rPr>
        <w:t>采购人</w:t>
      </w:r>
      <w:r>
        <w:rPr>
          <w:sz w:val="24"/>
          <w:highlight w:val="none"/>
        </w:rPr>
        <w:t>与成交供应商将在成交通知书发出之日起30日内，按照磋商文件确定的合同文本以及采购标的、规格型号、采购金额、采购数量、技术和服务要求等事项签订政府采购合同。</w:t>
      </w:r>
    </w:p>
    <w:p>
      <w:pPr>
        <w:tabs>
          <w:tab w:val="left" w:pos="1080"/>
          <w:tab w:val="left" w:pos="1589"/>
          <w:tab w:val="left" w:pos="2014"/>
        </w:tabs>
        <w:snapToGrid w:val="0"/>
        <w:spacing w:line="360" w:lineRule="auto"/>
        <w:ind w:firstLine="480" w:firstLineChars="200"/>
        <w:rPr>
          <w:sz w:val="24"/>
          <w:highlight w:val="none"/>
        </w:rPr>
      </w:pPr>
      <w:r>
        <w:rPr>
          <w:sz w:val="24"/>
          <w:highlight w:val="none"/>
        </w:rPr>
        <w:t>23.2成交供应商拒绝签订政府采购合同的，</w:t>
      </w:r>
      <w:r>
        <w:rPr>
          <w:rFonts w:hint="eastAsia"/>
          <w:sz w:val="24"/>
          <w:highlight w:val="none"/>
          <w:lang w:eastAsia="zh-CN"/>
        </w:rPr>
        <w:t>采购人</w:t>
      </w:r>
      <w:r>
        <w:rPr>
          <w:sz w:val="24"/>
          <w:highlight w:val="none"/>
        </w:rPr>
        <w:t>可以按照评审报告推荐的成交候选人名单排序，确定下一候选人为成交供应商，也可以重新开展采购活动。拒绝签订政府采购合同的成交供应商不得参加对该项目重新开展的采购活动。</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3.3联合体获得成交资格的，联合体各方应当共同与</w:t>
      </w:r>
      <w:r>
        <w:rPr>
          <w:rFonts w:hint="eastAsia"/>
          <w:sz w:val="24"/>
          <w:highlight w:val="none"/>
          <w:lang w:eastAsia="zh-CN"/>
        </w:rPr>
        <w:t>采购人</w:t>
      </w:r>
      <w:r>
        <w:rPr>
          <w:sz w:val="24"/>
          <w:highlight w:val="none"/>
        </w:rPr>
        <w:t>签订合同，就成交项目向</w:t>
      </w:r>
      <w:r>
        <w:rPr>
          <w:rFonts w:hint="eastAsia"/>
          <w:sz w:val="24"/>
          <w:highlight w:val="none"/>
          <w:lang w:eastAsia="zh-CN"/>
        </w:rPr>
        <w:t>采购人</w:t>
      </w:r>
      <w:r>
        <w:rPr>
          <w:sz w:val="24"/>
          <w:highlight w:val="none"/>
        </w:rPr>
        <w:t>承担连带责任。</w:t>
      </w:r>
    </w:p>
    <w:p>
      <w:pPr>
        <w:tabs>
          <w:tab w:val="left" w:pos="1080"/>
          <w:tab w:val="left" w:pos="1589"/>
          <w:tab w:val="left" w:pos="2014"/>
        </w:tabs>
        <w:snapToGrid w:val="0"/>
        <w:spacing w:line="360" w:lineRule="auto"/>
        <w:ind w:firstLine="480" w:firstLineChars="200"/>
        <w:rPr>
          <w:sz w:val="24"/>
          <w:highlight w:val="none"/>
        </w:rPr>
      </w:pPr>
      <w:r>
        <w:rPr>
          <w:sz w:val="24"/>
          <w:highlight w:val="none"/>
        </w:rPr>
        <w:t>23.4政府采购合同不能转包。</w:t>
      </w:r>
    </w:p>
    <w:p>
      <w:pPr>
        <w:tabs>
          <w:tab w:val="left" w:pos="1080"/>
          <w:tab w:val="left" w:pos="1589"/>
          <w:tab w:val="left" w:pos="2014"/>
        </w:tabs>
        <w:snapToGrid w:val="0"/>
        <w:spacing w:line="360" w:lineRule="auto"/>
        <w:ind w:firstLine="480" w:firstLineChars="200"/>
        <w:rPr>
          <w:sz w:val="24"/>
          <w:highlight w:val="none"/>
        </w:rPr>
      </w:pPr>
      <w:r>
        <w:rPr>
          <w:sz w:val="24"/>
          <w:highlight w:val="none"/>
        </w:rPr>
        <w:t>23.5</w:t>
      </w:r>
      <w:r>
        <w:rPr>
          <w:rFonts w:hint="eastAsia"/>
          <w:sz w:val="24"/>
          <w:highlight w:val="none"/>
          <w:lang w:eastAsia="zh-CN"/>
        </w:rPr>
        <w:t>采购人</w:t>
      </w:r>
      <w:r>
        <w:rPr>
          <w:sz w:val="24"/>
          <w:highlight w:val="none"/>
        </w:rPr>
        <w:t>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w:t>
      </w:r>
      <w:r>
        <w:rPr>
          <w:rFonts w:hint="eastAsia"/>
          <w:sz w:val="24"/>
          <w:highlight w:val="none"/>
          <w:lang w:eastAsia="zh-CN"/>
        </w:rPr>
        <w:t>采购人</w:t>
      </w:r>
      <w:r>
        <w:rPr>
          <w:sz w:val="24"/>
          <w:highlight w:val="none"/>
        </w:rPr>
        <w:t>负责，分包供应商就分包项目承担责任。</w:t>
      </w:r>
    </w:p>
    <w:bookmarkEnd w:id="552"/>
    <w:bookmarkEnd w:id="553"/>
    <w:bookmarkEnd w:id="554"/>
    <w:p>
      <w:pPr>
        <w:numPr>
          <w:ilvl w:val="0"/>
          <w:numId w:val="13"/>
        </w:numPr>
        <w:tabs>
          <w:tab w:val="left" w:pos="360"/>
          <w:tab w:val="left" w:pos="900"/>
        </w:tabs>
        <w:snapToGrid w:val="0"/>
        <w:spacing w:line="360" w:lineRule="auto"/>
        <w:ind w:left="357" w:hanging="357"/>
        <w:outlineLvl w:val="1"/>
        <w:rPr>
          <w:b/>
          <w:bCs/>
          <w:sz w:val="24"/>
          <w:highlight w:val="none"/>
        </w:rPr>
      </w:pPr>
      <w:r>
        <w:rPr>
          <w:b/>
          <w:bCs/>
          <w:sz w:val="24"/>
          <w:highlight w:val="none"/>
        </w:rPr>
        <w:t>询问与质疑</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4.1询问</w:t>
      </w:r>
    </w:p>
    <w:p>
      <w:pPr>
        <w:tabs>
          <w:tab w:val="left" w:pos="1980"/>
        </w:tabs>
        <w:snapToGrid w:val="0"/>
        <w:spacing w:line="360" w:lineRule="auto"/>
        <w:ind w:firstLine="480" w:firstLineChars="200"/>
        <w:rPr>
          <w:sz w:val="24"/>
          <w:highlight w:val="none"/>
        </w:rPr>
      </w:pPr>
      <w:r>
        <w:rPr>
          <w:rFonts w:hint="eastAsia"/>
          <w:sz w:val="24"/>
          <w:highlight w:val="none"/>
        </w:rPr>
        <w:t>2</w:t>
      </w:r>
      <w:r>
        <w:rPr>
          <w:sz w:val="24"/>
          <w:highlight w:val="none"/>
        </w:rPr>
        <w:t>4.1.1供应商对政府采购活动事项有疑问的，可依法提出询问，并按《供应商须知资料表》载明的形式送达</w:t>
      </w:r>
      <w:r>
        <w:rPr>
          <w:rFonts w:hint="eastAsia"/>
          <w:sz w:val="24"/>
          <w:highlight w:val="none"/>
          <w:lang w:eastAsia="zh-CN"/>
        </w:rPr>
        <w:t>采购人</w:t>
      </w:r>
      <w:r>
        <w:rPr>
          <w:sz w:val="24"/>
          <w:highlight w:val="none"/>
        </w:rPr>
        <w:t>或采购代理机构。</w:t>
      </w:r>
    </w:p>
    <w:p>
      <w:pPr>
        <w:tabs>
          <w:tab w:val="left" w:pos="1980"/>
        </w:tabs>
        <w:snapToGrid w:val="0"/>
        <w:spacing w:line="360" w:lineRule="auto"/>
        <w:ind w:firstLine="480" w:firstLineChars="200"/>
        <w:rPr>
          <w:sz w:val="24"/>
          <w:highlight w:val="none"/>
        </w:rPr>
      </w:pPr>
      <w:r>
        <w:rPr>
          <w:sz w:val="24"/>
          <w:highlight w:val="none"/>
        </w:rPr>
        <w:t>24.1.2</w:t>
      </w:r>
      <w:r>
        <w:rPr>
          <w:rFonts w:hint="eastAsia"/>
          <w:sz w:val="24"/>
          <w:highlight w:val="none"/>
          <w:lang w:eastAsia="zh-CN"/>
        </w:rPr>
        <w:t>采购人</w:t>
      </w:r>
      <w:r>
        <w:rPr>
          <w:sz w:val="24"/>
          <w:highlight w:val="none"/>
        </w:rPr>
        <w:t>或采购代理机构对供应商依法提出的询问，在3个工作日内作出答复，但答复的内容不得涉及商业秘密。</w:t>
      </w:r>
    </w:p>
    <w:p>
      <w:pPr>
        <w:tabs>
          <w:tab w:val="left" w:pos="1080"/>
          <w:tab w:val="left" w:pos="1589"/>
          <w:tab w:val="left" w:pos="2014"/>
        </w:tabs>
        <w:snapToGrid w:val="0"/>
        <w:spacing w:line="360" w:lineRule="auto"/>
        <w:ind w:firstLine="480" w:firstLineChars="200"/>
        <w:rPr>
          <w:sz w:val="24"/>
          <w:highlight w:val="none"/>
        </w:rPr>
      </w:pPr>
      <w:r>
        <w:rPr>
          <w:sz w:val="24"/>
          <w:highlight w:val="none"/>
        </w:rPr>
        <w:t>24.2质疑</w:t>
      </w:r>
    </w:p>
    <w:p>
      <w:pPr>
        <w:tabs>
          <w:tab w:val="left" w:pos="1980"/>
        </w:tabs>
        <w:snapToGrid w:val="0"/>
        <w:spacing w:line="360" w:lineRule="auto"/>
        <w:ind w:firstLine="480" w:firstLineChars="200"/>
        <w:rPr>
          <w:sz w:val="24"/>
          <w:highlight w:val="none"/>
        </w:rPr>
      </w:pPr>
      <w:r>
        <w:rPr>
          <w:rFonts w:hint="eastAsia"/>
          <w:sz w:val="24"/>
          <w:highlight w:val="none"/>
        </w:rPr>
        <w:t>2</w:t>
      </w:r>
      <w:r>
        <w:rPr>
          <w:sz w:val="24"/>
          <w:highlight w:val="none"/>
        </w:rPr>
        <w:t>4.2.1供应商认为竞争性磋商文件、采购过程、成交结果使自己的权益受到损害的，可以在知道或者应知其权益受到损害之日起7个工作日内，由供应商派授权代表以书面形式向</w:t>
      </w:r>
      <w:r>
        <w:rPr>
          <w:rFonts w:hint="eastAsia"/>
          <w:sz w:val="24"/>
          <w:highlight w:val="none"/>
          <w:lang w:eastAsia="zh-CN"/>
        </w:rPr>
        <w:t>采购人</w:t>
      </w:r>
      <w:r>
        <w:rPr>
          <w:sz w:val="24"/>
          <w:highlight w:val="none"/>
        </w:rPr>
        <w:t>、采购代理机构提出质疑。</w:t>
      </w:r>
      <w:r>
        <w:rPr>
          <w:rFonts w:hint="eastAsia"/>
          <w:sz w:val="24"/>
          <w:highlight w:val="none"/>
          <w:lang w:eastAsia="zh-CN"/>
        </w:rPr>
        <w:t>采购人</w:t>
      </w:r>
      <w:r>
        <w:rPr>
          <w:sz w:val="24"/>
          <w:highlight w:val="none"/>
        </w:rPr>
        <w:t>、采购代理机构在收到质疑函后7个工作日内作出答复。</w:t>
      </w:r>
    </w:p>
    <w:p>
      <w:pPr>
        <w:tabs>
          <w:tab w:val="left" w:pos="1980"/>
        </w:tabs>
        <w:snapToGrid w:val="0"/>
        <w:spacing w:line="360" w:lineRule="auto"/>
        <w:ind w:firstLine="482" w:firstLineChars="200"/>
        <w:rPr>
          <w:sz w:val="24"/>
          <w:highlight w:val="none"/>
        </w:rPr>
      </w:pPr>
      <w:r>
        <w:rPr>
          <w:rFonts w:hint="eastAsia"/>
          <w:b/>
          <w:sz w:val="24"/>
          <w:highlight w:val="none"/>
        </w:rPr>
        <w:t>2</w:t>
      </w:r>
      <w:r>
        <w:rPr>
          <w:b/>
          <w:sz w:val="24"/>
          <w:highlight w:val="none"/>
        </w:rPr>
        <w:t>4.2.2</w:t>
      </w:r>
      <w:r>
        <w:rPr>
          <w:rFonts w:hint="eastAsia"/>
          <w:b/>
          <w:sz w:val="24"/>
          <w:highlight w:val="none"/>
        </w:rPr>
        <w:t>磋商文件</w:t>
      </w:r>
      <w:r>
        <w:rPr>
          <w:rFonts w:hint="eastAsia" w:ascii="宋体" w:hAnsi="宋体"/>
          <w:b/>
          <w:sz w:val="24"/>
          <w:highlight w:val="none"/>
        </w:rPr>
        <w:t>中采购需求以及相关部分（第四章、第五章以及供应商资格要求）由</w:t>
      </w:r>
      <w:r>
        <w:rPr>
          <w:rFonts w:hint="eastAsia" w:ascii="宋体" w:hAnsi="宋体"/>
          <w:b/>
          <w:sz w:val="24"/>
          <w:highlight w:val="none"/>
          <w:lang w:eastAsia="zh-CN"/>
        </w:rPr>
        <w:t>采购人</w:t>
      </w:r>
      <w:r>
        <w:rPr>
          <w:rFonts w:hint="eastAsia" w:ascii="宋体" w:hAnsi="宋体"/>
          <w:b/>
          <w:sz w:val="24"/>
          <w:highlight w:val="none"/>
        </w:rPr>
        <w:t>负责制定和管理，对该部分内容有询问或者质疑的，供应商应当向</w:t>
      </w:r>
      <w:r>
        <w:rPr>
          <w:rFonts w:hint="eastAsia" w:ascii="宋体" w:hAnsi="宋体"/>
          <w:b/>
          <w:sz w:val="24"/>
          <w:highlight w:val="none"/>
          <w:lang w:eastAsia="zh-CN"/>
        </w:rPr>
        <w:t>采购人</w:t>
      </w:r>
      <w:r>
        <w:rPr>
          <w:rFonts w:hint="eastAsia" w:ascii="宋体" w:hAnsi="宋体"/>
          <w:b/>
          <w:sz w:val="24"/>
          <w:highlight w:val="none"/>
        </w:rPr>
        <w:t>书面提出，由</w:t>
      </w:r>
      <w:r>
        <w:rPr>
          <w:rFonts w:hint="eastAsia" w:ascii="宋体" w:hAnsi="宋体"/>
          <w:b/>
          <w:sz w:val="24"/>
          <w:highlight w:val="none"/>
          <w:lang w:eastAsia="zh-CN"/>
        </w:rPr>
        <w:t>采购人</w:t>
      </w:r>
      <w:r>
        <w:rPr>
          <w:rFonts w:hint="eastAsia" w:ascii="宋体" w:hAnsi="宋体"/>
          <w:b/>
          <w:sz w:val="24"/>
          <w:highlight w:val="none"/>
        </w:rPr>
        <w:t>负责接收和回复。</w:t>
      </w:r>
    </w:p>
    <w:p>
      <w:pPr>
        <w:tabs>
          <w:tab w:val="left" w:pos="1980"/>
        </w:tabs>
        <w:snapToGrid w:val="0"/>
        <w:spacing w:line="360" w:lineRule="auto"/>
        <w:ind w:firstLine="480" w:firstLineChars="200"/>
        <w:rPr>
          <w:sz w:val="24"/>
          <w:highlight w:val="none"/>
        </w:rPr>
      </w:pPr>
      <w:r>
        <w:rPr>
          <w:sz w:val="24"/>
          <w:highlight w:val="none"/>
        </w:rPr>
        <w:t>24.2.3质疑函须使用财政部制定的范本文件。</w:t>
      </w:r>
      <w:r>
        <w:rPr>
          <w:rFonts w:hint="eastAsia"/>
          <w:sz w:val="24"/>
          <w:highlight w:val="none"/>
        </w:rPr>
        <w:t>（下载网址：</w:t>
      </w:r>
      <w:r>
        <w:rPr>
          <w:highlight w:val="none"/>
        </w:rPr>
        <w:fldChar w:fldCharType="begin"/>
      </w:r>
      <w:r>
        <w:rPr>
          <w:highlight w:val="none"/>
        </w:rPr>
        <w:instrText xml:space="preserve"> HYPERLINK "http://gks.mof.gov.cn/ztztz/zhengfucaigouguanli/201802/t20180201_2804589.htm" </w:instrText>
      </w:r>
      <w:r>
        <w:rPr>
          <w:highlight w:val="none"/>
        </w:rPr>
        <w:fldChar w:fldCharType="separate"/>
      </w:r>
      <w:r>
        <w:rPr>
          <w:rStyle w:val="59"/>
          <w:highlight w:val="none"/>
        </w:rPr>
        <w:t>http://gks.mof.gov.cn/ztztz/zhengfucaigouguanli/201802/t20180201_2804589.htm</w:t>
      </w:r>
      <w:r>
        <w:rPr>
          <w:rStyle w:val="59"/>
          <w:highlight w:val="none"/>
        </w:rPr>
        <w:fldChar w:fldCharType="end"/>
      </w:r>
      <w:r>
        <w:rPr>
          <w:rFonts w:hint="eastAsia"/>
          <w:highlight w:val="none"/>
        </w:rPr>
        <w:t>）</w:t>
      </w:r>
    </w:p>
    <w:p>
      <w:pPr>
        <w:tabs>
          <w:tab w:val="left" w:pos="1980"/>
        </w:tabs>
        <w:snapToGrid w:val="0"/>
        <w:spacing w:line="360" w:lineRule="auto"/>
        <w:ind w:firstLine="480" w:firstLineChars="200"/>
        <w:rPr>
          <w:sz w:val="24"/>
          <w:highlight w:val="none"/>
        </w:rPr>
      </w:pPr>
      <w:r>
        <w:rPr>
          <w:rFonts w:hint="eastAsia"/>
          <w:sz w:val="24"/>
          <w:highlight w:val="none"/>
        </w:rPr>
        <w:t>2</w:t>
      </w:r>
      <w:r>
        <w:rPr>
          <w:sz w:val="24"/>
          <w:highlight w:val="none"/>
        </w:rPr>
        <w:t>4.2.4供应商为自然人的，应当由本人签字；供应商为法人或者其他组织的，应当由法定代表人、主要负责人，或者其授权代表签字或者盖章，并加盖公章。</w:t>
      </w:r>
    </w:p>
    <w:p>
      <w:pPr>
        <w:tabs>
          <w:tab w:val="left" w:pos="1980"/>
        </w:tabs>
        <w:snapToGrid w:val="0"/>
        <w:spacing w:line="360" w:lineRule="auto"/>
        <w:ind w:firstLine="480" w:firstLineChars="200"/>
        <w:rPr>
          <w:sz w:val="24"/>
          <w:highlight w:val="none"/>
        </w:rPr>
      </w:pPr>
      <w:r>
        <w:rPr>
          <w:sz w:val="24"/>
          <w:highlight w:val="none"/>
        </w:rPr>
        <w:t>24.2.5供应商应在法定质疑期内一次性提出针对同一采购程序环节的质疑，法定质疑期内针对同一采购程序环节再次提出的质疑，</w:t>
      </w:r>
      <w:r>
        <w:rPr>
          <w:rFonts w:hint="eastAsia"/>
          <w:sz w:val="24"/>
          <w:highlight w:val="none"/>
          <w:lang w:eastAsia="zh-CN"/>
        </w:rPr>
        <w:t>采购人</w:t>
      </w:r>
      <w:r>
        <w:rPr>
          <w:sz w:val="24"/>
          <w:highlight w:val="none"/>
        </w:rPr>
        <w:t>、采购代理机构有权不予答复。</w:t>
      </w:r>
    </w:p>
    <w:p>
      <w:pPr>
        <w:tabs>
          <w:tab w:val="left" w:pos="1980"/>
        </w:tabs>
        <w:snapToGrid w:val="0"/>
        <w:spacing w:line="360" w:lineRule="auto"/>
        <w:ind w:firstLine="480" w:firstLineChars="200"/>
        <w:rPr>
          <w:sz w:val="24"/>
          <w:highlight w:val="none"/>
        </w:rPr>
      </w:pPr>
      <w:r>
        <w:rPr>
          <w:rFonts w:hint="eastAsia"/>
          <w:sz w:val="24"/>
          <w:highlight w:val="none"/>
        </w:rPr>
        <w:t>2</w:t>
      </w:r>
      <w:r>
        <w:rPr>
          <w:sz w:val="24"/>
          <w:highlight w:val="none"/>
        </w:rPr>
        <w:t>4.3接收询问和质疑的联系部门、联系电话和通讯地址见《供应商须知资料表》</w:t>
      </w:r>
      <w:r>
        <w:rPr>
          <w:rFonts w:hint="eastAsia"/>
          <w:sz w:val="24"/>
          <w:highlight w:val="none"/>
        </w:rPr>
        <w:t>。</w:t>
      </w:r>
    </w:p>
    <w:p>
      <w:pPr>
        <w:numPr>
          <w:ilvl w:val="0"/>
          <w:numId w:val="13"/>
        </w:numPr>
        <w:tabs>
          <w:tab w:val="left" w:pos="360"/>
          <w:tab w:val="left" w:pos="900"/>
        </w:tabs>
        <w:snapToGrid w:val="0"/>
        <w:spacing w:line="360" w:lineRule="auto"/>
        <w:ind w:left="357" w:hanging="357"/>
        <w:outlineLvl w:val="1"/>
        <w:rPr>
          <w:b/>
          <w:bCs/>
          <w:sz w:val="24"/>
          <w:highlight w:val="none"/>
        </w:rPr>
      </w:pPr>
      <w:r>
        <w:rPr>
          <w:b/>
          <w:bCs/>
          <w:sz w:val="24"/>
          <w:highlight w:val="none"/>
        </w:rPr>
        <w:t>代理费</w:t>
      </w:r>
    </w:p>
    <w:p>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w:t>
      </w:r>
      <w:r>
        <w:rPr>
          <w:sz w:val="24"/>
          <w:highlight w:val="none"/>
        </w:rPr>
        <w:t>5.1收费对象、收费标准及缴纳时间见《供应商须知资料表》。由成交供应商支付的，成交供应商须一次性向采购代理机构缴纳代理费，报价应包含代理费用。</w:t>
      </w:r>
    </w:p>
    <w:p>
      <w:pPr>
        <w:numPr>
          <w:ilvl w:val="1"/>
          <w:numId w:val="13"/>
        </w:numPr>
        <w:tabs>
          <w:tab w:val="left" w:pos="1080"/>
          <w:tab w:val="left" w:pos="1589"/>
          <w:tab w:val="left" w:pos="2014"/>
        </w:tabs>
        <w:snapToGrid w:val="0"/>
        <w:spacing w:line="360" w:lineRule="auto"/>
        <w:ind w:left="1077" w:hanging="720"/>
        <w:rPr>
          <w:sz w:val="24"/>
          <w:highlight w:val="none"/>
        </w:rPr>
        <w:sectPr>
          <w:footerReference r:id="rId10" w:type="even"/>
          <w:pgSz w:w="11907" w:h="16840"/>
          <w:pgMar w:top="1440" w:right="1304" w:bottom="1440" w:left="1304" w:header="851" w:footer="851" w:gutter="0"/>
          <w:cols w:space="720" w:num="1"/>
          <w:docGrid w:linePitch="462" w:charSpace="0"/>
        </w:sectPr>
      </w:pPr>
      <w:bookmarkStart w:id="589" w:name="_Toc127151554"/>
      <w:bookmarkStart w:id="590" w:name="_Toc305158822"/>
      <w:bookmarkStart w:id="591" w:name="_Toc265228392"/>
      <w:bookmarkStart w:id="592" w:name="_Toc142311056"/>
      <w:bookmarkStart w:id="593" w:name="_Toc353825544"/>
      <w:bookmarkStart w:id="594" w:name="_Toc150774759"/>
      <w:bookmarkStart w:id="595" w:name="_Toc150480792"/>
      <w:bookmarkStart w:id="596" w:name="_Toc226337250"/>
      <w:bookmarkStart w:id="597" w:name="_Toc353873934"/>
      <w:bookmarkStart w:id="598" w:name="_Toc353873664"/>
      <w:bookmarkStart w:id="599" w:name="_Toc264969244"/>
      <w:bookmarkStart w:id="600" w:name="_Toc226965827"/>
      <w:bookmarkStart w:id="601" w:name="_Toc305158896"/>
    </w:p>
    <w:p>
      <w:pPr>
        <w:spacing w:line="360" w:lineRule="auto"/>
        <w:jc w:val="center"/>
        <w:outlineLvl w:val="0"/>
        <w:rPr>
          <w:b/>
          <w:sz w:val="36"/>
          <w:szCs w:val="36"/>
          <w:highlight w:val="none"/>
        </w:rPr>
      </w:pPr>
      <w:bookmarkStart w:id="602" w:name="_Toc104818927"/>
      <w:r>
        <w:rPr>
          <w:b/>
          <w:sz w:val="36"/>
          <w:szCs w:val="36"/>
          <w:highlight w:val="none"/>
        </w:rPr>
        <w:t>第三章</w:t>
      </w:r>
      <w:bookmarkEnd w:id="589"/>
      <w:bookmarkEnd w:id="590"/>
      <w:bookmarkEnd w:id="591"/>
      <w:bookmarkEnd w:id="592"/>
      <w:bookmarkEnd w:id="593"/>
      <w:bookmarkEnd w:id="594"/>
      <w:bookmarkEnd w:id="595"/>
      <w:bookmarkEnd w:id="596"/>
      <w:bookmarkEnd w:id="597"/>
      <w:bookmarkEnd w:id="598"/>
      <w:bookmarkEnd w:id="599"/>
      <w:bookmarkEnd w:id="600"/>
      <w:bookmarkEnd w:id="601"/>
      <w:r>
        <w:rPr>
          <w:b/>
          <w:sz w:val="36"/>
          <w:szCs w:val="36"/>
          <w:highlight w:val="none"/>
        </w:rPr>
        <w:t>评审</w:t>
      </w:r>
      <w:r>
        <w:rPr>
          <w:rFonts w:hint="eastAsia"/>
          <w:b/>
          <w:sz w:val="36"/>
          <w:szCs w:val="36"/>
          <w:highlight w:val="none"/>
        </w:rPr>
        <w:t>程序、评审</w:t>
      </w:r>
      <w:r>
        <w:rPr>
          <w:b/>
          <w:sz w:val="36"/>
          <w:szCs w:val="36"/>
          <w:highlight w:val="none"/>
        </w:rPr>
        <w:t>方法和评审标准</w:t>
      </w:r>
      <w:bookmarkEnd w:id="602"/>
      <w:bookmarkStart w:id="603" w:name="_Toc487900382"/>
    </w:p>
    <w:p>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w:t>
      </w:r>
      <w:r>
        <w:rPr>
          <w:rFonts w:hint="eastAsia" w:ascii="Times New Roman" w:hAnsi="Times New Roman" w:eastAsia="宋体"/>
          <w:sz w:val="24"/>
          <w:szCs w:val="24"/>
          <w:highlight w:val="none"/>
        </w:rPr>
        <w:t>评审</w:t>
      </w:r>
      <w:r>
        <w:rPr>
          <w:rFonts w:ascii="Times New Roman" w:hAnsi="Times New Roman" w:eastAsia="宋体"/>
          <w:sz w:val="24"/>
          <w:szCs w:val="24"/>
          <w:highlight w:val="none"/>
        </w:rPr>
        <w:t>程序</w:t>
      </w:r>
    </w:p>
    <w:p>
      <w:pPr>
        <w:tabs>
          <w:tab w:val="left" w:pos="1080"/>
        </w:tabs>
        <w:snapToGrid w:val="0"/>
        <w:jc w:val="left"/>
        <w:rPr>
          <w:b/>
          <w:sz w:val="24"/>
          <w:highlight w:val="none"/>
        </w:rPr>
      </w:pPr>
      <w:r>
        <w:rPr>
          <w:b/>
          <w:sz w:val="24"/>
          <w:highlight w:val="none"/>
        </w:rPr>
        <w:tab/>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03"/>
    <w:p>
      <w:pPr>
        <w:numPr>
          <w:ilvl w:val="0"/>
          <w:numId w:val="14"/>
        </w:numPr>
        <w:tabs>
          <w:tab w:val="left" w:pos="360"/>
        </w:tabs>
        <w:snapToGrid w:val="0"/>
        <w:spacing w:line="360" w:lineRule="auto"/>
        <w:outlineLvl w:val="1"/>
        <w:rPr>
          <w:b/>
          <w:bCs/>
          <w:sz w:val="24"/>
          <w:highlight w:val="none"/>
        </w:rPr>
      </w:pPr>
      <w:bookmarkStart w:id="604" w:name="_Toc127151541"/>
      <w:bookmarkStart w:id="605" w:name="_Toc151193783"/>
      <w:bookmarkStart w:id="606" w:name="_Toc164608810"/>
      <w:bookmarkStart w:id="607" w:name="_Toc151190168"/>
      <w:bookmarkStart w:id="608" w:name="_Toc226309785"/>
      <w:bookmarkStart w:id="609" w:name="_Toc151193929"/>
      <w:bookmarkStart w:id="610" w:name="_Toc164229382"/>
      <w:bookmarkStart w:id="611" w:name="_Toc149720834"/>
      <w:bookmarkStart w:id="612" w:name="_Toc127161455"/>
      <w:bookmarkStart w:id="613" w:name="_Toc142311043"/>
      <w:bookmarkStart w:id="614" w:name="_Toc150509292"/>
      <w:bookmarkStart w:id="615" w:name="_Toc226965814"/>
      <w:bookmarkStart w:id="616" w:name="_Toc150480779"/>
      <w:bookmarkStart w:id="617" w:name="_Toc150774641"/>
      <w:bookmarkStart w:id="618" w:name="_Toc265228379"/>
      <w:bookmarkStart w:id="619" w:name="_Toc151193855"/>
      <w:bookmarkStart w:id="620" w:name="_Toc195842906"/>
      <w:bookmarkStart w:id="621" w:name="_Toc305158809"/>
      <w:bookmarkStart w:id="622" w:name="_Toc127151742"/>
      <w:bookmarkStart w:id="623" w:name="_Toc164608655"/>
      <w:bookmarkStart w:id="624" w:name="_Toc226337237"/>
      <w:bookmarkStart w:id="625" w:name="_Toc151193711"/>
      <w:bookmarkStart w:id="626" w:name="_Toc164351635"/>
      <w:bookmarkStart w:id="627" w:name="_Toc264969231"/>
      <w:bookmarkStart w:id="628" w:name="_Toc150774746"/>
      <w:bookmarkStart w:id="629" w:name="_Toc164229236"/>
      <w:bookmarkStart w:id="630" w:name="_Toc151193639"/>
      <w:bookmarkStart w:id="631" w:name="_Toc305158883"/>
      <w:bookmarkStart w:id="632" w:name="_Toc226965731"/>
      <w:bookmarkStart w:id="633" w:name="_Toc353873941"/>
      <w:bookmarkStart w:id="634" w:name="_Toc353825551"/>
      <w:bookmarkStart w:id="635" w:name="_Toc226965828"/>
      <w:bookmarkStart w:id="636" w:name="_Toc142311057"/>
      <w:bookmarkStart w:id="637" w:name="_Toc305158823"/>
      <w:bookmarkStart w:id="638" w:name="_Toc264969245"/>
      <w:bookmarkStart w:id="639" w:name="_Toc353825545"/>
      <w:bookmarkStart w:id="640" w:name="_Toc150774760"/>
      <w:bookmarkStart w:id="641" w:name="_Toc305158897"/>
      <w:bookmarkStart w:id="642" w:name="_Toc265228393"/>
      <w:bookmarkStart w:id="643" w:name="_Toc195842920"/>
      <w:bookmarkStart w:id="644" w:name="_Toc226337251"/>
      <w:bookmarkStart w:id="645" w:name="_Toc353873665"/>
      <w:bookmarkStart w:id="646" w:name="_Toc127151555"/>
      <w:bookmarkStart w:id="647" w:name="_Toc150480793"/>
      <w:bookmarkStart w:id="648" w:name="_Toc353873935"/>
      <w:r>
        <w:rPr>
          <w:b/>
          <w:bCs/>
          <w:sz w:val="24"/>
          <w:highlight w:val="none"/>
        </w:rPr>
        <w:t>响应文件的</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b/>
          <w:bCs/>
          <w:sz w:val="24"/>
          <w:highlight w:val="none"/>
        </w:rPr>
        <w:t>资格性检查和符合性审查</w:t>
      </w:r>
    </w:p>
    <w:p>
      <w:pPr>
        <w:tabs>
          <w:tab w:val="left" w:pos="1080"/>
          <w:tab w:val="left" w:pos="1589"/>
        </w:tabs>
        <w:snapToGrid w:val="0"/>
        <w:spacing w:line="360" w:lineRule="auto"/>
        <w:ind w:firstLine="480" w:firstLineChars="200"/>
        <w:rPr>
          <w:sz w:val="24"/>
          <w:highlight w:val="none"/>
        </w:rPr>
      </w:pPr>
      <w:r>
        <w:rPr>
          <w:rFonts w:hint="eastAsia"/>
          <w:sz w:val="24"/>
          <w:highlight w:val="none"/>
        </w:rPr>
        <w:t>1</w:t>
      </w:r>
      <w:r>
        <w:rPr>
          <w:sz w:val="24"/>
          <w:highlight w:val="none"/>
        </w:rPr>
        <w:t>.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pPr>
        <w:tabs>
          <w:tab w:val="left" w:pos="1080"/>
          <w:tab w:val="left" w:pos="1589"/>
        </w:tabs>
        <w:snapToGrid w:val="0"/>
        <w:spacing w:line="360" w:lineRule="auto"/>
        <w:ind w:firstLine="480" w:firstLineChars="200"/>
        <w:rPr>
          <w:sz w:val="24"/>
          <w:highlight w:val="none"/>
        </w:rPr>
      </w:pPr>
      <w:r>
        <w:rPr>
          <w:rFonts w:hint="eastAsia"/>
          <w:sz w:val="24"/>
          <w:highlight w:val="none"/>
        </w:rPr>
        <w:t>1</w:t>
      </w:r>
      <w:r>
        <w:rPr>
          <w:sz w:val="24"/>
          <w:highlight w:val="none"/>
        </w:rPr>
        <w:t>.2《资格性检查要求》中对格式有要求的，除竞争性磋商文件另有规定外，均为“实质性格式”文件。</w:t>
      </w:r>
    </w:p>
    <w:p>
      <w:pPr>
        <w:tabs>
          <w:tab w:val="left" w:pos="1080"/>
          <w:tab w:val="left" w:pos="1589"/>
        </w:tabs>
        <w:snapToGrid w:val="0"/>
        <w:spacing w:line="360" w:lineRule="auto"/>
        <w:ind w:firstLine="480" w:firstLineChars="200"/>
        <w:rPr>
          <w:sz w:val="24"/>
          <w:highlight w:val="none"/>
        </w:rPr>
      </w:pPr>
      <w:r>
        <w:rPr>
          <w:sz w:val="24"/>
          <w:highlight w:val="none"/>
        </w:rPr>
        <w:t>1.3《资格性检查要求》见下表：</w:t>
      </w:r>
    </w:p>
    <w:p>
      <w:pPr>
        <w:tabs>
          <w:tab w:val="left" w:pos="900"/>
          <w:tab w:val="left" w:pos="1080"/>
        </w:tabs>
        <w:snapToGrid w:val="0"/>
        <w:spacing w:line="360" w:lineRule="auto"/>
        <w:ind w:left="1077" w:firstLine="2650" w:firstLineChars="1100"/>
        <w:rPr>
          <w:b/>
          <w:sz w:val="24"/>
          <w:highlight w:val="none"/>
        </w:rPr>
      </w:pPr>
      <w:r>
        <w:rPr>
          <w:b/>
          <w:sz w:val="24"/>
          <w:highlight w:val="none"/>
        </w:rPr>
        <w:t>资格性检查要求</w:t>
      </w:r>
    </w:p>
    <w:tbl>
      <w:tblPr>
        <w:tblStyle w:val="51"/>
        <w:tblW w:w="5536" w:type="pct"/>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1884"/>
        <w:gridCol w:w="6019"/>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22" w:type="pct"/>
            <w:vAlign w:val="center"/>
          </w:tcPr>
          <w:p>
            <w:pPr>
              <w:tabs>
                <w:tab w:val="left" w:pos="1080"/>
              </w:tabs>
              <w:snapToGrid w:val="0"/>
              <w:jc w:val="center"/>
              <w:rPr>
                <w:b/>
                <w:sz w:val="24"/>
                <w:highlight w:val="none"/>
              </w:rPr>
            </w:pPr>
            <w:bookmarkStart w:id="649" w:name="_Hlt487972895"/>
            <w:bookmarkEnd w:id="649"/>
            <w:r>
              <w:rPr>
                <w:b/>
                <w:sz w:val="24"/>
                <w:highlight w:val="none"/>
              </w:rPr>
              <w:t>序号</w:t>
            </w:r>
          </w:p>
        </w:tc>
        <w:tc>
          <w:tcPr>
            <w:tcW w:w="915" w:type="pct"/>
            <w:vAlign w:val="center"/>
          </w:tcPr>
          <w:p>
            <w:pPr>
              <w:tabs>
                <w:tab w:val="left" w:pos="1080"/>
              </w:tabs>
              <w:snapToGrid w:val="0"/>
              <w:jc w:val="center"/>
              <w:rPr>
                <w:b/>
                <w:sz w:val="24"/>
                <w:highlight w:val="none"/>
              </w:rPr>
            </w:pPr>
            <w:r>
              <w:rPr>
                <w:b/>
                <w:sz w:val="24"/>
                <w:highlight w:val="none"/>
              </w:rPr>
              <w:t>审查因素</w:t>
            </w:r>
          </w:p>
        </w:tc>
        <w:tc>
          <w:tcPr>
            <w:tcW w:w="2926" w:type="pct"/>
            <w:vAlign w:val="center"/>
          </w:tcPr>
          <w:p>
            <w:pPr>
              <w:tabs>
                <w:tab w:val="left" w:pos="1080"/>
              </w:tabs>
              <w:snapToGrid w:val="0"/>
              <w:jc w:val="center"/>
              <w:rPr>
                <w:b/>
                <w:sz w:val="24"/>
                <w:highlight w:val="none"/>
              </w:rPr>
            </w:pPr>
            <w:r>
              <w:rPr>
                <w:b/>
                <w:sz w:val="24"/>
                <w:highlight w:val="none"/>
              </w:rPr>
              <w:t>审查内容</w:t>
            </w:r>
          </w:p>
        </w:tc>
        <w:tc>
          <w:tcPr>
            <w:tcW w:w="735" w:type="pct"/>
            <w:vAlign w:val="center"/>
          </w:tcPr>
          <w:p>
            <w:pPr>
              <w:tabs>
                <w:tab w:val="left" w:pos="1080"/>
              </w:tabs>
              <w:snapToGrid w:val="0"/>
              <w:jc w:val="center"/>
              <w:rPr>
                <w:b/>
                <w:sz w:val="24"/>
                <w:highlight w:val="none"/>
              </w:rPr>
            </w:pPr>
            <w:r>
              <w:rPr>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22" w:type="pct"/>
            <w:vAlign w:val="center"/>
          </w:tcPr>
          <w:p>
            <w:pPr>
              <w:tabs>
                <w:tab w:val="left" w:pos="1080"/>
              </w:tabs>
              <w:snapToGrid w:val="0"/>
              <w:jc w:val="center"/>
              <w:rPr>
                <w:sz w:val="24"/>
                <w:highlight w:val="none"/>
              </w:rPr>
            </w:pPr>
            <w:r>
              <w:rPr>
                <w:sz w:val="24"/>
                <w:highlight w:val="none"/>
              </w:rPr>
              <w:t>1</w:t>
            </w:r>
          </w:p>
        </w:tc>
        <w:tc>
          <w:tcPr>
            <w:tcW w:w="915" w:type="pct"/>
            <w:vAlign w:val="center"/>
          </w:tcPr>
          <w:p>
            <w:pPr>
              <w:tabs>
                <w:tab w:val="left" w:pos="1080"/>
              </w:tabs>
              <w:snapToGrid w:val="0"/>
              <w:rPr>
                <w:sz w:val="24"/>
                <w:highlight w:val="none"/>
              </w:rPr>
            </w:pPr>
            <w:r>
              <w:rPr>
                <w:sz w:val="24"/>
                <w:highlight w:val="none"/>
              </w:rPr>
              <w:t>满足《中华人民共和国政府采购法》第二十二条规定及法律法规的其他规定</w:t>
            </w:r>
          </w:p>
        </w:tc>
        <w:tc>
          <w:tcPr>
            <w:tcW w:w="2926" w:type="pct"/>
            <w:vAlign w:val="center"/>
          </w:tcPr>
          <w:p>
            <w:pPr>
              <w:tabs>
                <w:tab w:val="left" w:pos="1080"/>
              </w:tabs>
              <w:snapToGrid w:val="0"/>
              <w:rPr>
                <w:sz w:val="24"/>
                <w:highlight w:val="none"/>
              </w:rPr>
            </w:pPr>
            <w:r>
              <w:rPr>
                <w:sz w:val="24"/>
                <w:highlight w:val="none"/>
              </w:rPr>
              <w:t>具体规定见第一章《竞争性磋商公告》</w:t>
            </w:r>
          </w:p>
        </w:tc>
        <w:tc>
          <w:tcPr>
            <w:tcW w:w="735" w:type="pct"/>
            <w:vAlign w:val="center"/>
          </w:tcPr>
          <w:p>
            <w:pPr>
              <w:tabs>
                <w:tab w:val="left" w:pos="1080"/>
              </w:tabs>
              <w:snapToGrid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2" w:type="pct"/>
            <w:vAlign w:val="center"/>
          </w:tcPr>
          <w:p>
            <w:pPr>
              <w:tabs>
                <w:tab w:val="left" w:pos="1080"/>
              </w:tabs>
              <w:snapToGrid w:val="0"/>
              <w:jc w:val="center"/>
              <w:rPr>
                <w:sz w:val="24"/>
                <w:highlight w:val="none"/>
              </w:rPr>
            </w:pPr>
            <w:r>
              <w:rPr>
                <w:sz w:val="24"/>
                <w:highlight w:val="none"/>
              </w:rPr>
              <w:t>1-1</w:t>
            </w:r>
          </w:p>
        </w:tc>
        <w:tc>
          <w:tcPr>
            <w:tcW w:w="915" w:type="pct"/>
            <w:vAlign w:val="center"/>
          </w:tcPr>
          <w:p>
            <w:pPr>
              <w:tabs>
                <w:tab w:val="left" w:pos="1080"/>
              </w:tabs>
              <w:snapToGrid w:val="0"/>
              <w:rPr>
                <w:sz w:val="24"/>
                <w:highlight w:val="none"/>
              </w:rPr>
            </w:pPr>
            <w:r>
              <w:rPr>
                <w:rFonts w:hint="eastAsia"/>
                <w:sz w:val="24"/>
                <w:highlight w:val="none"/>
              </w:rPr>
              <w:t>供应商资格声明函</w:t>
            </w:r>
          </w:p>
        </w:tc>
        <w:tc>
          <w:tcPr>
            <w:tcW w:w="2926" w:type="pct"/>
            <w:vAlign w:val="center"/>
          </w:tcPr>
          <w:p>
            <w:pPr>
              <w:tabs>
                <w:tab w:val="left" w:pos="1080"/>
              </w:tabs>
              <w:snapToGrid w:val="0"/>
              <w:rPr>
                <w:sz w:val="24"/>
                <w:highlight w:val="none"/>
              </w:rPr>
            </w:pPr>
            <w:r>
              <w:rPr>
                <w:sz w:val="24"/>
                <w:highlight w:val="none"/>
              </w:rPr>
              <w:t>提供了符合</w:t>
            </w:r>
            <w:r>
              <w:rPr>
                <w:rFonts w:hint="eastAsia"/>
                <w:sz w:val="24"/>
                <w:highlight w:val="none"/>
              </w:rPr>
              <w:t>采购</w:t>
            </w:r>
            <w:r>
              <w:rPr>
                <w:sz w:val="24"/>
                <w:highlight w:val="none"/>
              </w:rPr>
              <w:t>文件要求的《</w:t>
            </w:r>
            <w:r>
              <w:rPr>
                <w:rFonts w:hint="eastAsia"/>
                <w:sz w:val="24"/>
                <w:highlight w:val="none"/>
              </w:rPr>
              <w:t>供应商资格声明函</w:t>
            </w:r>
            <w:r>
              <w:rPr>
                <w:sz w:val="24"/>
                <w:highlight w:val="none"/>
              </w:rPr>
              <w:t>》。</w:t>
            </w:r>
          </w:p>
        </w:tc>
        <w:tc>
          <w:tcPr>
            <w:tcW w:w="735" w:type="pct"/>
            <w:vAlign w:val="center"/>
          </w:tcPr>
          <w:p>
            <w:pPr>
              <w:tabs>
                <w:tab w:val="left" w:pos="1080"/>
              </w:tabs>
              <w:snapToGrid w:val="0"/>
              <w:rPr>
                <w:sz w:val="24"/>
                <w:highlight w:val="none"/>
              </w:rPr>
            </w:pPr>
            <w:r>
              <w:rPr>
                <w:sz w:val="24"/>
                <w:highlight w:val="none"/>
              </w:rPr>
              <w:t>格式见《</w:t>
            </w:r>
            <w:r>
              <w:rPr>
                <w:rFonts w:hint="eastAsia"/>
                <w:sz w:val="24"/>
                <w:highlight w:val="none"/>
              </w:rPr>
              <w:t>响应</w:t>
            </w:r>
            <w:r>
              <w:rPr>
                <w:sz w:val="24"/>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22" w:type="pct"/>
            <w:vAlign w:val="center"/>
          </w:tcPr>
          <w:p>
            <w:pPr>
              <w:tabs>
                <w:tab w:val="left" w:pos="1080"/>
              </w:tabs>
              <w:snapToGrid w:val="0"/>
              <w:jc w:val="center"/>
              <w:rPr>
                <w:sz w:val="24"/>
                <w:highlight w:val="none"/>
              </w:rPr>
            </w:pPr>
            <w:r>
              <w:rPr>
                <w:rFonts w:hint="eastAsia"/>
                <w:sz w:val="24"/>
                <w:highlight w:val="none"/>
              </w:rPr>
              <w:t>1</w:t>
            </w:r>
            <w:r>
              <w:rPr>
                <w:sz w:val="24"/>
                <w:highlight w:val="none"/>
              </w:rPr>
              <w:t>-</w:t>
            </w:r>
            <w:r>
              <w:rPr>
                <w:rFonts w:hint="eastAsia"/>
                <w:sz w:val="24"/>
                <w:highlight w:val="none"/>
              </w:rPr>
              <w:t>2</w:t>
            </w:r>
          </w:p>
        </w:tc>
        <w:tc>
          <w:tcPr>
            <w:tcW w:w="915" w:type="pct"/>
            <w:vAlign w:val="center"/>
          </w:tcPr>
          <w:p>
            <w:pPr>
              <w:tabs>
                <w:tab w:val="left" w:pos="1080"/>
              </w:tabs>
              <w:snapToGrid w:val="0"/>
              <w:rPr>
                <w:sz w:val="24"/>
                <w:highlight w:val="none"/>
              </w:rPr>
            </w:pPr>
            <w:r>
              <w:rPr>
                <w:sz w:val="24"/>
                <w:highlight w:val="none"/>
              </w:rPr>
              <w:t>供应商信用记录</w:t>
            </w:r>
          </w:p>
        </w:tc>
        <w:tc>
          <w:tcPr>
            <w:tcW w:w="2926" w:type="pct"/>
            <w:vAlign w:val="center"/>
          </w:tcPr>
          <w:p>
            <w:pPr>
              <w:tabs>
                <w:tab w:val="left" w:pos="900"/>
                <w:tab w:val="left" w:pos="1980"/>
              </w:tabs>
              <w:snapToGrid w:val="0"/>
              <w:rPr>
                <w:sz w:val="24"/>
                <w:highlight w:val="none"/>
              </w:rPr>
            </w:pPr>
            <w:r>
              <w:rPr>
                <w:sz w:val="24"/>
                <w:highlight w:val="none"/>
              </w:rPr>
              <w:t>查询渠道：信用中国网站和中国政府采购网（www.creditchina.gov.cn、www.ccgp.gov.cn）；</w:t>
            </w:r>
          </w:p>
          <w:p>
            <w:pPr>
              <w:tabs>
                <w:tab w:val="left" w:pos="900"/>
                <w:tab w:val="left" w:pos="1980"/>
              </w:tabs>
              <w:snapToGrid w:val="0"/>
              <w:rPr>
                <w:sz w:val="24"/>
                <w:highlight w:val="none"/>
              </w:rPr>
            </w:pPr>
            <w:r>
              <w:rPr>
                <w:sz w:val="24"/>
                <w:highlight w:val="none"/>
              </w:rPr>
              <w:t>截止时点：提交响应文件截止时间以后、</w:t>
            </w:r>
            <w:r>
              <w:rPr>
                <w:rFonts w:hint="eastAsia"/>
                <w:sz w:val="24"/>
                <w:highlight w:val="none"/>
              </w:rPr>
              <w:t>资格审查阶段</w:t>
            </w:r>
            <w:r>
              <w:rPr>
                <w:rFonts w:hint="eastAsia"/>
                <w:sz w:val="24"/>
                <w:highlight w:val="none"/>
                <w:lang w:eastAsia="zh-CN"/>
              </w:rPr>
              <w:t>采购人</w:t>
            </w:r>
            <w:r>
              <w:rPr>
                <w:rFonts w:hint="eastAsia"/>
                <w:sz w:val="24"/>
                <w:highlight w:val="none"/>
              </w:rPr>
              <w:t>或采购代理机构</w:t>
            </w:r>
            <w:r>
              <w:rPr>
                <w:sz w:val="24"/>
                <w:highlight w:val="none"/>
              </w:rPr>
              <w:t>的实际查询时间；</w:t>
            </w:r>
          </w:p>
          <w:p>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信用信息的使用原则：经认定的被列入失信被执行人、重大税收违法案件当事人名单、政府采购严重违法失信行为记录名单的供应商，其</w:t>
            </w:r>
            <w:r>
              <w:rPr>
                <w:b/>
                <w:sz w:val="24"/>
                <w:highlight w:val="none"/>
              </w:rPr>
              <w:t>响应无效</w:t>
            </w:r>
            <w:r>
              <w:rPr>
                <w:sz w:val="24"/>
                <w:highlight w:val="none"/>
              </w:rPr>
              <w:t>。联合体形式响应的，联合体成员存在不良信用记录，视同联合体存在不良信用记录。</w:t>
            </w:r>
          </w:p>
        </w:tc>
        <w:tc>
          <w:tcPr>
            <w:tcW w:w="735" w:type="pct"/>
            <w:vAlign w:val="center"/>
          </w:tcPr>
          <w:p>
            <w:pPr>
              <w:tabs>
                <w:tab w:val="left" w:pos="1080"/>
              </w:tabs>
              <w:snapToGrid w:val="0"/>
              <w:rPr>
                <w:sz w:val="24"/>
                <w:highlight w:val="none"/>
              </w:rPr>
            </w:pPr>
            <w:r>
              <w:rPr>
                <w:sz w:val="24"/>
                <w:highlight w:val="none"/>
              </w:rPr>
              <w:t>无须供应商提供，由</w:t>
            </w:r>
            <w:r>
              <w:rPr>
                <w:rFonts w:hint="eastAsia"/>
                <w:sz w:val="24"/>
                <w:highlight w:val="none"/>
                <w:lang w:eastAsia="zh-CN"/>
              </w:rPr>
              <w:t>采购人</w:t>
            </w:r>
            <w:r>
              <w:rPr>
                <w:sz w:val="24"/>
                <w:highlight w:val="none"/>
              </w:rPr>
              <w:t>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22" w:type="pct"/>
            <w:vAlign w:val="center"/>
          </w:tcPr>
          <w:p>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2</w:t>
            </w:r>
          </w:p>
        </w:tc>
        <w:tc>
          <w:tcPr>
            <w:tcW w:w="915" w:type="pct"/>
            <w:vAlign w:val="center"/>
          </w:tcPr>
          <w:p>
            <w:pPr>
              <w:tabs>
                <w:tab w:val="left" w:pos="1080"/>
              </w:tabs>
              <w:snapToGrid w:val="0"/>
              <w:rPr>
                <w:sz w:val="24"/>
                <w:highlight w:val="none"/>
              </w:rPr>
            </w:pPr>
            <w:r>
              <w:rPr>
                <w:sz w:val="24"/>
                <w:highlight w:val="none"/>
              </w:rPr>
              <w:t>其它落实政府采购政策的资格要求</w:t>
            </w:r>
          </w:p>
        </w:tc>
        <w:tc>
          <w:tcPr>
            <w:tcW w:w="2926" w:type="pct"/>
            <w:vAlign w:val="center"/>
          </w:tcPr>
          <w:p>
            <w:pPr>
              <w:tabs>
                <w:tab w:val="left" w:pos="1080"/>
              </w:tabs>
              <w:snapToGrid w:val="0"/>
              <w:rPr>
                <w:sz w:val="24"/>
                <w:highlight w:val="none"/>
              </w:rPr>
            </w:pPr>
            <w:r>
              <w:rPr>
                <w:sz w:val="24"/>
                <w:highlight w:val="none"/>
              </w:rPr>
              <w:t>如有，见第一章《竞争性磋商公告》</w:t>
            </w:r>
          </w:p>
        </w:tc>
        <w:tc>
          <w:tcPr>
            <w:tcW w:w="735" w:type="pct"/>
            <w:vAlign w:val="center"/>
          </w:tcPr>
          <w:p>
            <w:pPr>
              <w:tabs>
                <w:tab w:val="left" w:pos="1080"/>
              </w:tabs>
              <w:snapToGrid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22" w:type="pct"/>
            <w:vAlign w:val="center"/>
          </w:tcPr>
          <w:p>
            <w:pPr>
              <w:tabs>
                <w:tab w:val="left" w:pos="1080"/>
              </w:tabs>
              <w:snapToGrid w:val="0"/>
              <w:jc w:val="center"/>
              <w:rPr>
                <w:sz w:val="24"/>
                <w:highlight w:val="none"/>
              </w:rPr>
            </w:pPr>
            <w:r>
              <w:rPr>
                <w:sz w:val="24"/>
                <w:highlight w:val="none"/>
              </w:rPr>
              <w:t>3</w:t>
            </w:r>
          </w:p>
        </w:tc>
        <w:tc>
          <w:tcPr>
            <w:tcW w:w="915" w:type="pct"/>
            <w:vAlign w:val="center"/>
          </w:tcPr>
          <w:p>
            <w:pPr>
              <w:tabs>
                <w:tab w:val="left" w:pos="1080"/>
              </w:tabs>
              <w:snapToGrid w:val="0"/>
              <w:rPr>
                <w:sz w:val="24"/>
                <w:highlight w:val="none"/>
              </w:rPr>
            </w:pPr>
            <w:r>
              <w:rPr>
                <w:sz w:val="24"/>
                <w:highlight w:val="none"/>
              </w:rPr>
              <w:t>本项目的特定资格要求</w:t>
            </w:r>
          </w:p>
        </w:tc>
        <w:tc>
          <w:tcPr>
            <w:tcW w:w="2926" w:type="pct"/>
            <w:vAlign w:val="center"/>
          </w:tcPr>
          <w:p>
            <w:pPr>
              <w:tabs>
                <w:tab w:val="left" w:pos="1080"/>
              </w:tabs>
              <w:snapToGrid w:val="0"/>
              <w:rPr>
                <w:sz w:val="24"/>
                <w:highlight w:val="none"/>
              </w:rPr>
            </w:pPr>
            <w:r>
              <w:rPr>
                <w:sz w:val="24"/>
                <w:highlight w:val="none"/>
              </w:rPr>
              <w:t>如有，见第一章《竞争性磋商公告》</w:t>
            </w:r>
          </w:p>
        </w:tc>
        <w:tc>
          <w:tcPr>
            <w:tcW w:w="735" w:type="pct"/>
            <w:vAlign w:val="center"/>
          </w:tcPr>
          <w:p>
            <w:pPr>
              <w:tabs>
                <w:tab w:val="left" w:pos="1080"/>
              </w:tabs>
              <w:snapToGrid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22" w:type="pct"/>
            <w:vAlign w:val="center"/>
          </w:tcPr>
          <w:p>
            <w:pPr>
              <w:tabs>
                <w:tab w:val="left" w:pos="1080"/>
              </w:tabs>
              <w:snapToGrid w:val="0"/>
              <w:jc w:val="center"/>
              <w:rPr>
                <w:sz w:val="24"/>
                <w:highlight w:val="none"/>
              </w:rPr>
            </w:pPr>
            <w:r>
              <w:rPr>
                <w:sz w:val="24"/>
                <w:highlight w:val="none"/>
              </w:rPr>
              <w:t>3-1</w:t>
            </w:r>
          </w:p>
        </w:tc>
        <w:tc>
          <w:tcPr>
            <w:tcW w:w="915" w:type="pct"/>
            <w:vAlign w:val="center"/>
          </w:tcPr>
          <w:p>
            <w:pPr>
              <w:tabs>
                <w:tab w:val="left" w:pos="1080"/>
              </w:tabs>
              <w:snapToGrid w:val="0"/>
              <w:rPr>
                <w:sz w:val="24"/>
                <w:highlight w:val="none"/>
              </w:rPr>
            </w:pPr>
            <w:r>
              <w:rPr>
                <w:sz w:val="24"/>
                <w:highlight w:val="none"/>
              </w:rPr>
              <w:t>是否接受联合体响应</w:t>
            </w:r>
          </w:p>
        </w:tc>
        <w:tc>
          <w:tcPr>
            <w:tcW w:w="2926" w:type="pct"/>
            <w:vAlign w:val="center"/>
          </w:tcPr>
          <w:p>
            <w:pPr>
              <w:tabs>
                <w:tab w:val="left" w:pos="1080"/>
              </w:tabs>
              <w:snapToGrid w:val="0"/>
              <w:rPr>
                <w:sz w:val="24"/>
                <w:highlight w:val="none"/>
              </w:rPr>
            </w:pPr>
            <w:r>
              <w:rPr>
                <w:sz w:val="24"/>
                <w:highlight w:val="none"/>
              </w:rPr>
              <w:t>本项目不接受联合体响应，</w:t>
            </w:r>
            <w:r>
              <w:rPr>
                <w:rFonts w:hint="eastAsia"/>
                <w:sz w:val="24"/>
                <w:highlight w:val="none"/>
              </w:rPr>
              <w:t>供应商不得为联合体</w:t>
            </w:r>
            <w:r>
              <w:rPr>
                <w:sz w:val="24"/>
                <w:highlight w:val="none"/>
              </w:rPr>
              <w:t>。</w:t>
            </w:r>
          </w:p>
        </w:tc>
        <w:tc>
          <w:tcPr>
            <w:tcW w:w="735" w:type="pct"/>
            <w:vAlign w:val="center"/>
          </w:tcPr>
          <w:p>
            <w:pPr>
              <w:tabs>
                <w:tab w:val="left" w:pos="1080"/>
              </w:tabs>
              <w:snapToGrid w:val="0"/>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22" w:type="pct"/>
            <w:vAlign w:val="center"/>
          </w:tcPr>
          <w:p>
            <w:pPr>
              <w:tabs>
                <w:tab w:val="left" w:pos="1080"/>
              </w:tabs>
              <w:snapToGrid w:val="0"/>
              <w:jc w:val="center"/>
              <w:rPr>
                <w:sz w:val="24"/>
                <w:highlight w:val="none"/>
              </w:rPr>
            </w:pPr>
            <w:r>
              <w:rPr>
                <w:sz w:val="24"/>
                <w:highlight w:val="none"/>
              </w:rPr>
              <w:t>3-2</w:t>
            </w:r>
          </w:p>
        </w:tc>
        <w:tc>
          <w:tcPr>
            <w:tcW w:w="915" w:type="pct"/>
            <w:vAlign w:val="center"/>
          </w:tcPr>
          <w:p>
            <w:pPr>
              <w:tabs>
                <w:tab w:val="left" w:pos="1080"/>
              </w:tabs>
              <w:snapToGrid w:val="0"/>
              <w:rPr>
                <w:sz w:val="24"/>
                <w:highlight w:val="none"/>
              </w:rPr>
            </w:pPr>
            <w:r>
              <w:rPr>
                <w:sz w:val="24"/>
                <w:highlight w:val="none"/>
              </w:rPr>
              <w:t>其他特定资格要求</w:t>
            </w:r>
          </w:p>
        </w:tc>
        <w:tc>
          <w:tcPr>
            <w:tcW w:w="2926" w:type="pct"/>
            <w:vAlign w:val="center"/>
          </w:tcPr>
          <w:p>
            <w:pPr>
              <w:tabs>
                <w:tab w:val="left" w:pos="1080"/>
              </w:tabs>
              <w:snapToGrid w:val="0"/>
              <w:rPr>
                <w:rFonts w:hint="eastAsia"/>
                <w:sz w:val="24"/>
                <w:highlight w:val="none"/>
              </w:rPr>
            </w:pPr>
            <w:r>
              <w:rPr>
                <w:rFonts w:hint="eastAsia"/>
                <w:sz w:val="24"/>
                <w:highlight w:val="none"/>
              </w:rPr>
              <w:t xml:space="preserve">3.1供应商具备建筑工程施工总承包叁级及以上资质或建筑装修装饰工程专业承包贰级及以上资质； </w:t>
            </w:r>
          </w:p>
          <w:p>
            <w:pPr>
              <w:tabs>
                <w:tab w:val="left" w:pos="1080"/>
              </w:tabs>
              <w:snapToGrid w:val="0"/>
              <w:rPr>
                <w:rFonts w:hint="eastAsia"/>
                <w:sz w:val="24"/>
                <w:highlight w:val="none"/>
              </w:rPr>
            </w:pPr>
            <w:r>
              <w:rPr>
                <w:rFonts w:hint="eastAsia"/>
                <w:sz w:val="24"/>
                <w:highlight w:val="none"/>
              </w:rPr>
              <w:t xml:space="preserve">3.2供应商具备安全生产许可证； </w:t>
            </w:r>
          </w:p>
          <w:p>
            <w:pPr>
              <w:tabs>
                <w:tab w:val="left" w:pos="1080"/>
              </w:tabs>
              <w:snapToGrid w:val="0"/>
              <w:rPr>
                <w:rFonts w:hint="eastAsia"/>
                <w:sz w:val="24"/>
                <w:highlight w:val="none"/>
              </w:rPr>
            </w:pPr>
            <w:r>
              <w:rPr>
                <w:rFonts w:hint="eastAsia"/>
                <w:sz w:val="24"/>
                <w:highlight w:val="none"/>
              </w:rPr>
              <w:t xml:space="preserve">3.3拟派项目负责人须具备建筑工程贰级及以上注册建造师执业资格； </w:t>
            </w:r>
          </w:p>
          <w:p>
            <w:pPr>
              <w:tabs>
                <w:tab w:val="left" w:pos="1080"/>
              </w:tabs>
              <w:snapToGrid w:val="0"/>
              <w:rPr>
                <w:sz w:val="24"/>
                <w:highlight w:val="none"/>
              </w:rPr>
            </w:pPr>
            <w:r>
              <w:rPr>
                <w:rFonts w:hint="eastAsia"/>
                <w:sz w:val="24"/>
                <w:highlight w:val="none"/>
              </w:rPr>
              <w:t>3.4拟派项目负责人须具备有效的建设行政主管部门核发的安全生产考核合格证（B 证）。</w:t>
            </w:r>
          </w:p>
        </w:tc>
        <w:tc>
          <w:tcPr>
            <w:tcW w:w="735" w:type="pct"/>
            <w:vAlign w:val="center"/>
          </w:tcPr>
          <w:p>
            <w:pPr>
              <w:tabs>
                <w:tab w:val="left" w:pos="1080"/>
              </w:tabs>
              <w:snapToGrid w:val="0"/>
              <w:rPr>
                <w:rFonts w:hint="default" w:eastAsia="宋体"/>
                <w:sz w:val="24"/>
                <w:highlight w:val="none"/>
                <w:lang w:val="en-US" w:eastAsia="zh-CN"/>
              </w:rPr>
            </w:pPr>
            <w:r>
              <w:rPr>
                <w:sz w:val="24"/>
                <w:highlight w:val="none"/>
              </w:rPr>
              <w:t>提供</w:t>
            </w:r>
            <w:r>
              <w:rPr>
                <w:rFonts w:hint="eastAsia"/>
                <w:sz w:val="24"/>
                <w:highlight w:val="none"/>
                <w:lang w:val="en-US" w:eastAsia="zh-CN"/>
              </w:rPr>
              <w:t>相关证书</w:t>
            </w:r>
          </w:p>
        </w:tc>
      </w:tr>
    </w:tbl>
    <w:p>
      <w:pPr>
        <w:widowControl/>
        <w:jc w:val="left"/>
        <w:rPr>
          <w:sz w:val="24"/>
          <w:highlight w:val="none"/>
        </w:rPr>
      </w:pPr>
      <w:r>
        <w:rPr>
          <w:sz w:val="24"/>
          <w:highlight w:val="none"/>
        </w:rPr>
        <w:br w:type="page"/>
      </w:r>
    </w:p>
    <w:p>
      <w:pPr>
        <w:tabs>
          <w:tab w:val="left" w:pos="1080"/>
          <w:tab w:val="left" w:pos="1589"/>
        </w:tabs>
        <w:snapToGrid w:val="0"/>
        <w:spacing w:line="360" w:lineRule="auto"/>
        <w:ind w:firstLine="480" w:firstLineChars="200"/>
        <w:rPr>
          <w:sz w:val="24"/>
          <w:highlight w:val="none"/>
        </w:rPr>
      </w:pPr>
      <w:r>
        <w:rPr>
          <w:rFonts w:hint="eastAsia"/>
          <w:sz w:val="24"/>
          <w:highlight w:val="none"/>
        </w:rPr>
        <w:t>1</w:t>
      </w:r>
      <w:r>
        <w:rPr>
          <w:sz w:val="24"/>
          <w:highlight w:val="none"/>
        </w:rPr>
        <w:t>.4《符合性审查要求》见下表：</w:t>
      </w:r>
    </w:p>
    <w:p>
      <w:pPr>
        <w:widowControl/>
        <w:spacing w:line="360" w:lineRule="auto"/>
        <w:jc w:val="center"/>
        <w:rPr>
          <w:b/>
          <w:color w:val="000000"/>
          <w:kern w:val="0"/>
          <w:sz w:val="24"/>
          <w:highlight w:val="none"/>
        </w:rPr>
      </w:pPr>
      <w:r>
        <w:rPr>
          <w:b/>
          <w:color w:val="000000"/>
          <w:kern w:val="0"/>
          <w:sz w:val="24"/>
          <w:highlight w:val="none"/>
        </w:rPr>
        <w:t>符合性审查要求</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highlight w:val="none"/>
              </w:rPr>
            </w:pPr>
            <w:r>
              <w:rPr>
                <w:b/>
                <w:color w:val="000000"/>
                <w:kern w:val="0"/>
                <w:sz w:val="24"/>
                <w:highlight w:val="none"/>
              </w:rPr>
              <w:t>序号</w:t>
            </w:r>
          </w:p>
        </w:tc>
        <w:tc>
          <w:tcPr>
            <w:tcW w:w="976" w:type="pct"/>
            <w:vAlign w:val="center"/>
          </w:tcPr>
          <w:p>
            <w:pPr>
              <w:widowControl/>
              <w:jc w:val="center"/>
              <w:rPr>
                <w:b/>
                <w:color w:val="000000"/>
                <w:kern w:val="0"/>
                <w:sz w:val="24"/>
                <w:highlight w:val="none"/>
              </w:rPr>
            </w:pPr>
            <w:r>
              <w:rPr>
                <w:b/>
                <w:color w:val="000000"/>
                <w:kern w:val="0"/>
                <w:sz w:val="24"/>
                <w:highlight w:val="none"/>
              </w:rPr>
              <w:t>审查因素</w:t>
            </w:r>
          </w:p>
        </w:tc>
        <w:tc>
          <w:tcPr>
            <w:tcW w:w="3620" w:type="pct"/>
            <w:vAlign w:val="center"/>
          </w:tcPr>
          <w:p>
            <w:pPr>
              <w:widowControl/>
              <w:jc w:val="center"/>
              <w:rPr>
                <w:b/>
                <w:color w:val="000000"/>
                <w:kern w:val="0"/>
                <w:sz w:val="24"/>
                <w:highlight w:val="none"/>
              </w:rPr>
            </w:pPr>
            <w:r>
              <w:rPr>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w:t>
            </w:r>
          </w:p>
        </w:tc>
        <w:tc>
          <w:tcPr>
            <w:tcW w:w="976" w:type="pct"/>
            <w:vAlign w:val="center"/>
          </w:tcPr>
          <w:p>
            <w:pPr>
              <w:widowControl/>
              <w:jc w:val="left"/>
              <w:rPr>
                <w:color w:val="000000"/>
                <w:kern w:val="0"/>
                <w:sz w:val="24"/>
                <w:highlight w:val="none"/>
              </w:rPr>
            </w:pPr>
            <w:r>
              <w:rPr>
                <w:rFonts w:hint="eastAsia"/>
                <w:color w:val="000000"/>
                <w:kern w:val="0"/>
                <w:sz w:val="24"/>
                <w:highlight w:val="none"/>
              </w:rPr>
              <w:t>响应函、营业执照、</w:t>
            </w:r>
            <w:r>
              <w:rPr>
                <w:rFonts w:hint="eastAsia"/>
                <w:color w:val="000000"/>
                <w:sz w:val="24"/>
                <w:highlight w:val="none"/>
              </w:rPr>
              <w:t>法定代表人资格证明书</w:t>
            </w:r>
            <w:r>
              <w:rPr>
                <w:rFonts w:hint="eastAsia"/>
                <w:color w:val="000000"/>
                <w:sz w:val="24"/>
                <w:highlight w:val="none"/>
                <w:lang w:val="en-US" w:eastAsia="zh-CN"/>
              </w:rPr>
              <w:t>或授权委托书</w:t>
            </w:r>
            <w:r>
              <w:rPr>
                <w:rFonts w:hint="eastAsia"/>
                <w:color w:val="000000"/>
                <w:sz w:val="24"/>
                <w:highlight w:val="none"/>
              </w:rPr>
              <w:t>和采购供应商信用承诺书</w:t>
            </w:r>
          </w:p>
        </w:tc>
        <w:tc>
          <w:tcPr>
            <w:tcW w:w="3620" w:type="pct"/>
            <w:vAlign w:val="center"/>
          </w:tcPr>
          <w:p>
            <w:pPr>
              <w:widowControl/>
              <w:jc w:val="left"/>
              <w:rPr>
                <w:color w:val="000000"/>
                <w:kern w:val="0"/>
                <w:sz w:val="24"/>
                <w:highlight w:val="none"/>
              </w:rPr>
            </w:pPr>
            <w:r>
              <w:rPr>
                <w:color w:val="000000"/>
                <w:kern w:val="0"/>
                <w:sz w:val="24"/>
                <w:highlight w:val="none"/>
              </w:rPr>
              <w:t>按磋商文件要求提供</w:t>
            </w:r>
            <w:r>
              <w:rPr>
                <w:rFonts w:hint="eastAsia"/>
                <w:color w:val="000000"/>
                <w:kern w:val="0"/>
                <w:sz w:val="24"/>
                <w:highlight w:val="none"/>
              </w:rPr>
              <w:t>响应函、营业执照复印件加盖公章、</w:t>
            </w:r>
            <w:r>
              <w:rPr>
                <w:rFonts w:hint="eastAsia"/>
                <w:color w:val="000000"/>
                <w:sz w:val="24"/>
                <w:highlight w:val="none"/>
              </w:rPr>
              <w:t>法定代表人资格证明书</w:t>
            </w:r>
            <w:r>
              <w:rPr>
                <w:rFonts w:hint="eastAsia"/>
                <w:color w:val="000000"/>
                <w:sz w:val="24"/>
                <w:highlight w:val="none"/>
                <w:lang w:val="en-US" w:eastAsia="zh-CN"/>
              </w:rPr>
              <w:t>或授权委托书</w:t>
            </w:r>
            <w:r>
              <w:rPr>
                <w:rFonts w:hint="eastAsia"/>
                <w:color w:val="000000"/>
                <w:sz w:val="24"/>
                <w:highlight w:val="none"/>
              </w:rPr>
              <w:t>和采购供应商信用承诺书；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2</w:t>
            </w:r>
          </w:p>
        </w:tc>
        <w:tc>
          <w:tcPr>
            <w:tcW w:w="976" w:type="pct"/>
            <w:vAlign w:val="center"/>
          </w:tcPr>
          <w:p>
            <w:pPr>
              <w:widowControl/>
              <w:jc w:val="left"/>
              <w:rPr>
                <w:color w:val="000000"/>
                <w:kern w:val="0"/>
                <w:sz w:val="24"/>
                <w:highlight w:val="none"/>
              </w:rPr>
            </w:pPr>
            <w:r>
              <w:rPr>
                <w:color w:val="000000"/>
                <w:kern w:val="0"/>
                <w:sz w:val="24"/>
                <w:highlight w:val="none"/>
              </w:rPr>
              <w:t>响应完整性</w:t>
            </w:r>
          </w:p>
        </w:tc>
        <w:tc>
          <w:tcPr>
            <w:tcW w:w="3620" w:type="pct"/>
            <w:vAlign w:val="center"/>
          </w:tcPr>
          <w:p>
            <w:pPr>
              <w:widowControl/>
              <w:jc w:val="left"/>
              <w:rPr>
                <w:color w:val="000000"/>
                <w:kern w:val="0"/>
                <w:sz w:val="24"/>
                <w:highlight w:val="none"/>
              </w:rPr>
            </w:pPr>
            <w:r>
              <w:rPr>
                <w:rFonts w:hint="eastAsia"/>
                <w:sz w:val="24"/>
                <w:highlight w:val="none"/>
              </w:rPr>
              <w:t>未</w:t>
            </w:r>
            <w:r>
              <w:rPr>
                <w:sz w:val="24"/>
                <w:highlight w:val="none"/>
              </w:rPr>
              <w:t>将一个采购包中的内容拆开响应；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3</w:t>
            </w:r>
          </w:p>
        </w:tc>
        <w:tc>
          <w:tcPr>
            <w:tcW w:w="976" w:type="pct"/>
            <w:vAlign w:val="center"/>
          </w:tcPr>
          <w:p>
            <w:pPr>
              <w:widowControl/>
              <w:jc w:val="left"/>
              <w:rPr>
                <w:color w:val="000000"/>
                <w:kern w:val="0"/>
                <w:sz w:val="24"/>
                <w:highlight w:val="none"/>
              </w:rPr>
            </w:pPr>
            <w:r>
              <w:rPr>
                <w:color w:val="000000"/>
                <w:kern w:val="0"/>
                <w:sz w:val="24"/>
                <w:highlight w:val="none"/>
              </w:rPr>
              <w:t>响应报价</w:t>
            </w:r>
          </w:p>
        </w:tc>
        <w:tc>
          <w:tcPr>
            <w:tcW w:w="3620" w:type="pct"/>
            <w:vAlign w:val="center"/>
          </w:tcPr>
          <w:p>
            <w:pPr>
              <w:widowControl/>
              <w:jc w:val="left"/>
              <w:rPr>
                <w:color w:val="000000"/>
                <w:kern w:val="0"/>
                <w:sz w:val="24"/>
                <w:highlight w:val="none"/>
              </w:rPr>
            </w:pPr>
            <w:r>
              <w:rPr>
                <w:rFonts w:hint="eastAsia"/>
                <w:color w:val="000000"/>
                <w:kern w:val="0"/>
                <w:sz w:val="24"/>
                <w:highlight w:val="none"/>
              </w:rPr>
              <w:t>1.</w:t>
            </w:r>
            <w:r>
              <w:rPr>
                <w:color w:val="000000"/>
                <w:kern w:val="0"/>
                <w:sz w:val="24"/>
                <w:highlight w:val="none"/>
              </w:rPr>
              <w:t>投标报价</w:t>
            </w:r>
            <w:r>
              <w:rPr>
                <w:rFonts w:hint="eastAsia"/>
                <w:color w:val="000000"/>
                <w:kern w:val="0"/>
                <w:sz w:val="24"/>
                <w:highlight w:val="none"/>
              </w:rPr>
              <w:t>未</w:t>
            </w:r>
            <w:r>
              <w:rPr>
                <w:color w:val="000000"/>
                <w:kern w:val="0"/>
                <w:sz w:val="24"/>
                <w:highlight w:val="none"/>
              </w:rPr>
              <w:t>超过</w:t>
            </w:r>
            <w:r>
              <w:rPr>
                <w:rFonts w:hint="eastAsia"/>
                <w:color w:val="000000"/>
                <w:kern w:val="0"/>
                <w:sz w:val="24"/>
                <w:highlight w:val="none"/>
                <w:lang w:eastAsia="zh-CN"/>
              </w:rPr>
              <w:t>响应文件</w:t>
            </w:r>
            <w:r>
              <w:rPr>
                <w:color w:val="000000"/>
                <w:kern w:val="0"/>
                <w:sz w:val="24"/>
                <w:highlight w:val="none"/>
              </w:rPr>
              <w:t>中规定的项目/采购包预算金额或者项目/采购包最高限价</w:t>
            </w:r>
            <w:r>
              <w:rPr>
                <w:rFonts w:hint="eastAsia"/>
                <w:color w:val="000000"/>
                <w:kern w:val="0"/>
                <w:sz w:val="24"/>
                <w:highlight w:val="none"/>
              </w:rPr>
              <w:t>/综合单价</w:t>
            </w:r>
            <w:r>
              <w:rPr>
                <w:color w:val="000000"/>
                <w:kern w:val="0"/>
                <w:sz w:val="24"/>
                <w:highlight w:val="none"/>
              </w:rPr>
              <w:t>；</w:t>
            </w:r>
          </w:p>
          <w:p>
            <w:pPr>
              <w:widowControl/>
              <w:jc w:val="left"/>
              <w:rPr>
                <w:color w:val="000000"/>
                <w:kern w:val="0"/>
                <w:sz w:val="24"/>
                <w:highlight w:val="none"/>
              </w:rPr>
            </w:pPr>
            <w:r>
              <w:rPr>
                <w:color w:val="000000"/>
                <w:kern w:val="0"/>
                <w:sz w:val="24"/>
                <w:highlight w:val="none"/>
              </w:rPr>
              <w:t>2.</w:t>
            </w:r>
            <w:r>
              <w:rPr>
                <w:rFonts w:hint="eastAsia"/>
                <w:color w:val="000000"/>
                <w:kern w:val="0"/>
                <w:sz w:val="24"/>
                <w:highlight w:val="none"/>
              </w:rPr>
              <w:t>未改变</w:t>
            </w:r>
            <w:r>
              <w:rPr>
                <w:rFonts w:hint="eastAsia"/>
                <w:color w:val="000000"/>
                <w:kern w:val="0"/>
                <w:sz w:val="24"/>
                <w:highlight w:val="none"/>
                <w:lang w:eastAsia="zh-CN"/>
              </w:rPr>
              <w:t>响应文件</w:t>
            </w:r>
            <w:r>
              <w:rPr>
                <w:rFonts w:hint="eastAsia"/>
                <w:color w:val="000000"/>
                <w:kern w:val="0"/>
                <w:sz w:val="24"/>
                <w:highlight w:val="none"/>
              </w:rPr>
              <w:t>明确列出的不可竞争费用项目或费率；</w:t>
            </w:r>
          </w:p>
          <w:p>
            <w:pPr>
              <w:widowControl/>
              <w:jc w:val="left"/>
              <w:rPr>
                <w:rFonts w:hint="default"/>
                <w:highlight w:val="none"/>
                <w:lang w:val="en-US" w:eastAsia="zh-CN"/>
              </w:rPr>
            </w:pPr>
            <w:r>
              <w:rPr>
                <w:color w:val="000000"/>
                <w:kern w:val="0"/>
                <w:sz w:val="24"/>
                <w:highlight w:val="none"/>
              </w:rPr>
              <w:t>3.</w:t>
            </w:r>
            <w:r>
              <w:rPr>
                <w:rFonts w:hint="eastAsia"/>
                <w:color w:val="000000"/>
                <w:kern w:val="0"/>
                <w:sz w:val="24"/>
                <w:highlight w:val="none"/>
              </w:rPr>
              <w:t>未改变</w:t>
            </w:r>
            <w:r>
              <w:rPr>
                <w:rFonts w:hint="eastAsia"/>
                <w:color w:val="000000"/>
                <w:kern w:val="0"/>
                <w:sz w:val="24"/>
                <w:highlight w:val="none"/>
                <w:lang w:eastAsia="zh-CN"/>
              </w:rPr>
              <w:t>采购人</w:t>
            </w:r>
            <w:r>
              <w:rPr>
                <w:rFonts w:hint="eastAsia"/>
                <w:color w:val="000000"/>
                <w:kern w:val="0"/>
                <w:sz w:val="24"/>
                <w:highlight w:val="none"/>
              </w:rPr>
              <w:t>提供的工程量清单中的项目名称、计量单位、工程数量；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4</w:t>
            </w:r>
          </w:p>
        </w:tc>
        <w:tc>
          <w:tcPr>
            <w:tcW w:w="976" w:type="pct"/>
            <w:vAlign w:val="center"/>
          </w:tcPr>
          <w:p>
            <w:pPr>
              <w:widowControl/>
              <w:jc w:val="left"/>
              <w:rPr>
                <w:color w:val="000000"/>
                <w:kern w:val="0"/>
                <w:sz w:val="24"/>
                <w:highlight w:val="none"/>
              </w:rPr>
            </w:pPr>
            <w:r>
              <w:rPr>
                <w:color w:val="000000"/>
                <w:kern w:val="0"/>
                <w:sz w:val="24"/>
                <w:highlight w:val="none"/>
              </w:rPr>
              <w:t>报价唯一性</w:t>
            </w:r>
          </w:p>
        </w:tc>
        <w:tc>
          <w:tcPr>
            <w:tcW w:w="3620" w:type="pct"/>
            <w:vAlign w:val="center"/>
          </w:tcPr>
          <w:p>
            <w:pPr>
              <w:widowControl/>
              <w:jc w:val="left"/>
              <w:rPr>
                <w:color w:val="000000"/>
                <w:kern w:val="0"/>
                <w:sz w:val="24"/>
                <w:highlight w:val="none"/>
              </w:rPr>
            </w:pPr>
            <w:r>
              <w:rPr>
                <w:color w:val="000000"/>
                <w:kern w:val="0"/>
                <w:sz w:val="24"/>
                <w:highlight w:val="none"/>
              </w:rPr>
              <w:t>响应文件</w:t>
            </w:r>
            <w:r>
              <w:rPr>
                <w:rFonts w:hint="eastAsia"/>
                <w:color w:val="000000"/>
                <w:kern w:val="0"/>
                <w:sz w:val="24"/>
                <w:highlight w:val="none"/>
              </w:rPr>
              <w:t>未</w:t>
            </w:r>
            <w:r>
              <w:rPr>
                <w:rFonts w:hint="eastAsia"/>
                <w:sz w:val="24"/>
                <w:highlight w:val="none"/>
              </w:rPr>
              <w:t>出现可选择性或可调整的报价（磋商文件另有规定的除外）</w:t>
            </w:r>
            <w:r>
              <w:rPr>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5</w:t>
            </w:r>
          </w:p>
        </w:tc>
        <w:tc>
          <w:tcPr>
            <w:tcW w:w="976" w:type="pct"/>
            <w:vAlign w:val="center"/>
          </w:tcPr>
          <w:p>
            <w:pPr>
              <w:widowControl/>
              <w:jc w:val="left"/>
              <w:rPr>
                <w:color w:val="000000"/>
                <w:kern w:val="0"/>
                <w:sz w:val="24"/>
                <w:highlight w:val="none"/>
              </w:rPr>
            </w:pPr>
            <w:r>
              <w:rPr>
                <w:color w:val="000000"/>
                <w:kern w:val="0"/>
                <w:sz w:val="24"/>
                <w:highlight w:val="none"/>
              </w:rPr>
              <w:t>响应有效期</w:t>
            </w:r>
          </w:p>
        </w:tc>
        <w:tc>
          <w:tcPr>
            <w:tcW w:w="3620" w:type="pct"/>
            <w:vAlign w:val="center"/>
          </w:tcPr>
          <w:p>
            <w:pPr>
              <w:widowControl/>
              <w:jc w:val="left"/>
              <w:rPr>
                <w:color w:val="000000"/>
                <w:kern w:val="0"/>
                <w:sz w:val="24"/>
                <w:highlight w:val="none"/>
              </w:rPr>
            </w:pPr>
            <w:r>
              <w:rPr>
                <w:color w:val="000000"/>
                <w:kern w:val="0"/>
                <w:sz w:val="24"/>
                <w:highlight w:val="none"/>
              </w:rPr>
              <w:t>响应文件中承诺的响应有效期</w:t>
            </w:r>
            <w:r>
              <w:rPr>
                <w:rFonts w:hint="eastAsia"/>
                <w:color w:val="000000"/>
                <w:kern w:val="0"/>
                <w:sz w:val="24"/>
                <w:highlight w:val="none"/>
              </w:rPr>
              <w:t>满足</w:t>
            </w:r>
            <w:r>
              <w:rPr>
                <w:color w:val="000000"/>
                <w:kern w:val="0"/>
                <w:sz w:val="24"/>
                <w:highlight w:val="none"/>
              </w:rPr>
              <w:t>磋商文件中载明的响应有效期的；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6</w:t>
            </w:r>
          </w:p>
        </w:tc>
        <w:tc>
          <w:tcPr>
            <w:tcW w:w="976" w:type="pct"/>
            <w:vAlign w:val="center"/>
          </w:tcPr>
          <w:p>
            <w:pPr>
              <w:widowControl/>
              <w:jc w:val="left"/>
              <w:rPr>
                <w:color w:val="000000"/>
                <w:kern w:val="0"/>
                <w:sz w:val="24"/>
                <w:highlight w:val="none"/>
              </w:rPr>
            </w:pPr>
            <w:r>
              <w:rPr>
                <w:color w:val="000000"/>
                <w:kern w:val="0"/>
                <w:sz w:val="24"/>
                <w:highlight w:val="none"/>
              </w:rPr>
              <w:t>签署、加盖公章</w:t>
            </w:r>
          </w:p>
        </w:tc>
        <w:tc>
          <w:tcPr>
            <w:tcW w:w="3620" w:type="pct"/>
            <w:vAlign w:val="center"/>
          </w:tcPr>
          <w:p>
            <w:pPr>
              <w:widowControl/>
              <w:jc w:val="left"/>
              <w:rPr>
                <w:color w:val="000000"/>
                <w:kern w:val="0"/>
                <w:sz w:val="24"/>
                <w:highlight w:val="none"/>
              </w:rPr>
            </w:pPr>
            <w:r>
              <w:rPr>
                <w:color w:val="000000"/>
                <w:kern w:val="0"/>
                <w:sz w:val="24"/>
                <w:highlight w:val="none"/>
              </w:rPr>
              <w:t>按照磋商文件要求签署、加盖公章的；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rFonts w:hint="eastAsia"/>
                <w:color w:val="000000"/>
                <w:kern w:val="0"/>
                <w:sz w:val="24"/>
                <w:highlight w:val="none"/>
              </w:rPr>
              <w:t>7</w:t>
            </w:r>
          </w:p>
        </w:tc>
        <w:tc>
          <w:tcPr>
            <w:tcW w:w="976" w:type="pct"/>
            <w:vAlign w:val="center"/>
          </w:tcPr>
          <w:p>
            <w:pPr>
              <w:widowControl/>
              <w:jc w:val="left"/>
              <w:rPr>
                <w:color w:val="000000"/>
                <w:kern w:val="0"/>
                <w:sz w:val="24"/>
                <w:highlight w:val="none"/>
              </w:rPr>
            </w:pPr>
            <w:r>
              <w:rPr>
                <w:rFonts w:hint="eastAsia"/>
                <w:color w:val="000000"/>
                <w:kern w:val="0"/>
                <w:sz w:val="24"/>
                <w:highlight w:val="none"/>
              </w:rPr>
              <w:t>实质性格式</w:t>
            </w:r>
          </w:p>
        </w:tc>
        <w:tc>
          <w:tcPr>
            <w:tcW w:w="3620" w:type="pct"/>
            <w:vAlign w:val="center"/>
          </w:tcPr>
          <w:p>
            <w:pPr>
              <w:widowControl/>
              <w:jc w:val="left"/>
              <w:rPr>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磋商文件</w:t>
            </w:r>
            <w:r>
              <w:rPr>
                <w:rFonts w:hint="eastAsia"/>
                <w:kern w:val="0"/>
                <w:sz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8</w:t>
            </w:r>
          </w:p>
        </w:tc>
        <w:tc>
          <w:tcPr>
            <w:tcW w:w="976" w:type="pct"/>
            <w:vAlign w:val="center"/>
          </w:tcPr>
          <w:p>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vAlign w:val="center"/>
          </w:tcPr>
          <w:p>
            <w:pPr>
              <w:widowControl/>
              <w:jc w:val="left"/>
              <w:rPr>
                <w:color w:val="000000"/>
                <w:kern w:val="0"/>
                <w:sz w:val="24"/>
                <w:highlight w:val="none"/>
              </w:rPr>
            </w:pPr>
            <w:r>
              <w:rPr>
                <w:color w:val="000000"/>
                <w:kern w:val="0"/>
                <w:sz w:val="24"/>
                <w:highlight w:val="none"/>
              </w:rPr>
              <w:t>响应文件满足磋商文件</w:t>
            </w:r>
            <w:r>
              <w:rPr>
                <w:sz w:val="24"/>
                <w:highlight w:val="none"/>
              </w:rPr>
              <w:t>第</w:t>
            </w:r>
            <w:r>
              <w:rPr>
                <w:rFonts w:hint="eastAsia"/>
                <w:sz w:val="24"/>
                <w:highlight w:val="none"/>
                <w:lang w:val="en-US" w:eastAsia="zh-CN"/>
              </w:rPr>
              <w:t>四</w:t>
            </w:r>
            <w:r>
              <w:rPr>
                <w:sz w:val="24"/>
                <w:highlight w:val="none"/>
              </w:rPr>
              <w:t>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9</w:t>
            </w:r>
          </w:p>
        </w:tc>
        <w:tc>
          <w:tcPr>
            <w:tcW w:w="976" w:type="pct"/>
            <w:vAlign w:val="center"/>
          </w:tcPr>
          <w:p>
            <w:pPr>
              <w:widowControl/>
              <w:jc w:val="left"/>
              <w:rPr>
                <w:color w:val="000000"/>
                <w:kern w:val="0"/>
                <w:sz w:val="24"/>
                <w:highlight w:val="none"/>
              </w:rPr>
            </w:pPr>
            <w:r>
              <w:rPr>
                <w:color w:val="000000"/>
                <w:kern w:val="0"/>
                <w:sz w:val="24"/>
                <w:highlight w:val="none"/>
              </w:rPr>
              <w:t>分包承担主体资质（如有）</w:t>
            </w:r>
          </w:p>
        </w:tc>
        <w:tc>
          <w:tcPr>
            <w:tcW w:w="3620" w:type="pct"/>
            <w:vAlign w:val="center"/>
          </w:tcPr>
          <w:p>
            <w:pPr>
              <w:widowControl/>
              <w:jc w:val="left"/>
              <w:rPr>
                <w:color w:val="000000"/>
                <w:kern w:val="0"/>
                <w:sz w:val="24"/>
                <w:highlight w:val="none"/>
              </w:rPr>
            </w:pPr>
            <w:r>
              <w:rPr>
                <w:sz w:val="24"/>
                <w:highlight w:val="none"/>
              </w:rPr>
              <w:t>分包承担主体具备《供应商须知资料表》载明的资质条件</w:t>
            </w:r>
            <w:r>
              <w:rPr>
                <w:rFonts w:hint="eastAsia"/>
                <w:sz w:val="24"/>
                <w:highlight w:val="none"/>
              </w:rPr>
              <w:t>且</w:t>
            </w:r>
            <w:r>
              <w:rPr>
                <w:sz w:val="24"/>
                <w:highlight w:val="none"/>
              </w:rPr>
              <w:t>提供</w:t>
            </w:r>
            <w:r>
              <w:rPr>
                <w:rFonts w:hint="eastAsia"/>
                <w:sz w:val="24"/>
                <w:highlight w:val="none"/>
              </w:rPr>
              <w:t>了</w:t>
            </w:r>
            <w:r>
              <w:rPr>
                <w:sz w:val="24"/>
                <w:highlight w:val="none"/>
              </w:rPr>
              <w:t>资质证书</w:t>
            </w:r>
            <w:r>
              <w:rPr>
                <w:rFonts w:hint="eastAsia"/>
                <w:sz w:val="24"/>
                <w:highlight w:val="none"/>
              </w:rPr>
              <w:t>（如有）</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10</w:t>
            </w:r>
          </w:p>
        </w:tc>
        <w:tc>
          <w:tcPr>
            <w:tcW w:w="976" w:type="pct"/>
            <w:vAlign w:val="center"/>
          </w:tcPr>
          <w:p>
            <w:pPr>
              <w:widowControl/>
              <w:jc w:val="left"/>
              <w:rPr>
                <w:color w:val="000000"/>
                <w:kern w:val="0"/>
                <w:sz w:val="24"/>
                <w:highlight w:val="none"/>
              </w:rPr>
            </w:pPr>
            <w:r>
              <w:rPr>
                <w:color w:val="000000"/>
                <w:kern w:val="0"/>
                <w:sz w:val="24"/>
                <w:highlight w:val="none"/>
              </w:rPr>
              <w:t>分包意向协议</w:t>
            </w:r>
          </w:p>
          <w:p>
            <w:pPr>
              <w:widowControl/>
              <w:jc w:val="left"/>
              <w:rPr>
                <w:color w:val="000000"/>
                <w:kern w:val="0"/>
                <w:sz w:val="24"/>
                <w:highlight w:val="none"/>
              </w:rPr>
            </w:pPr>
            <w:r>
              <w:rPr>
                <w:color w:val="000000"/>
                <w:kern w:val="0"/>
                <w:sz w:val="24"/>
                <w:highlight w:val="none"/>
              </w:rPr>
              <w:t>（如有）</w:t>
            </w:r>
          </w:p>
        </w:tc>
        <w:tc>
          <w:tcPr>
            <w:tcW w:w="3620" w:type="pct"/>
            <w:vAlign w:val="center"/>
          </w:tcPr>
          <w:p>
            <w:pPr>
              <w:widowControl/>
              <w:jc w:val="left"/>
              <w:rPr>
                <w:color w:val="000000"/>
                <w:kern w:val="0"/>
                <w:sz w:val="24"/>
                <w:highlight w:val="none"/>
              </w:rPr>
            </w:pPr>
            <w:r>
              <w:rPr>
                <w:color w:val="000000"/>
                <w:kern w:val="0"/>
                <w:sz w:val="24"/>
                <w:highlight w:val="none"/>
              </w:rPr>
              <w:t>按磋商文件规定签订并提供分包意向协议原件的；</w:t>
            </w:r>
            <w:r>
              <w:rPr>
                <w:rFonts w:hint="eastAsia"/>
                <w:sz w:val="24"/>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11</w:t>
            </w:r>
          </w:p>
        </w:tc>
        <w:tc>
          <w:tcPr>
            <w:tcW w:w="976" w:type="pct"/>
            <w:vAlign w:val="center"/>
          </w:tcPr>
          <w:p>
            <w:pPr>
              <w:widowControl/>
              <w:jc w:val="left"/>
              <w:rPr>
                <w:color w:val="000000"/>
                <w:kern w:val="0"/>
                <w:sz w:val="24"/>
                <w:highlight w:val="none"/>
              </w:rPr>
            </w:pPr>
            <w:r>
              <w:rPr>
                <w:color w:val="000000"/>
                <w:kern w:val="0"/>
                <w:sz w:val="24"/>
                <w:highlight w:val="none"/>
              </w:rPr>
              <w:t>报价的修正（如有）</w:t>
            </w:r>
          </w:p>
        </w:tc>
        <w:tc>
          <w:tcPr>
            <w:tcW w:w="3620" w:type="pct"/>
            <w:vAlign w:val="center"/>
          </w:tcPr>
          <w:p>
            <w:pPr>
              <w:widowControl/>
              <w:jc w:val="left"/>
              <w:rPr>
                <w:color w:val="000000"/>
                <w:kern w:val="0"/>
                <w:sz w:val="24"/>
                <w:highlight w:val="none"/>
              </w:rPr>
            </w:pPr>
            <w:r>
              <w:rPr>
                <w:rFonts w:hint="eastAsia"/>
                <w:color w:val="000000"/>
                <w:kern w:val="0"/>
                <w:sz w:val="24"/>
                <w:highlight w:val="none"/>
              </w:rPr>
              <w:t>不涉及报价修正</w:t>
            </w:r>
            <w:r>
              <w:rPr>
                <w:color w:val="000000"/>
                <w:kern w:val="0"/>
                <w:sz w:val="24"/>
                <w:highlight w:val="none"/>
              </w:rPr>
              <w:t>，或响应文件报价出现前后不一致</w:t>
            </w:r>
            <w:r>
              <w:rPr>
                <w:rFonts w:hint="eastAsia"/>
                <w:color w:val="000000"/>
                <w:kern w:val="0"/>
                <w:sz w:val="24"/>
                <w:highlight w:val="none"/>
              </w:rPr>
              <w:t>时</w:t>
            </w:r>
            <w:r>
              <w:rPr>
                <w:color w:val="000000"/>
                <w:kern w:val="0"/>
                <w:sz w:val="24"/>
                <w:highlight w:val="none"/>
              </w:rPr>
              <w:t>，供应商对修正后的报价予</w:t>
            </w:r>
            <w:r>
              <w:rPr>
                <w:rFonts w:hint="eastAsia"/>
                <w:color w:val="000000"/>
                <w:kern w:val="0"/>
                <w:sz w:val="24"/>
                <w:highlight w:val="none"/>
              </w:rPr>
              <w:t>以</w:t>
            </w:r>
            <w:r>
              <w:rPr>
                <w:color w:val="000000"/>
                <w:kern w:val="0"/>
                <w:sz w:val="24"/>
                <w:highlight w:val="none"/>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2</w:t>
            </w:r>
          </w:p>
        </w:tc>
        <w:tc>
          <w:tcPr>
            <w:tcW w:w="976" w:type="pct"/>
            <w:vAlign w:val="center"/>
          </w:tcPr>
          <w:p>
            <w:pPr>
              <w:widowControl/>
              <w:jc w:val="left"/>
              <w:rPr>
                <w:color w:val="000000"/>
                <w:kern w:val="0"/>
                <w:sz w:val="24"/>
                <w:highlight w:val="none"/>
              </w:rPr>
            </w:pPr>
            <w:r>
              <w:rPr>
                <w:color w:val="000000"/>
                <w:kern w:val="0"/>
                <w:sz w:val="24"/>
                <w:highlight w:val="none"/>
              </w:rPr>
              <w:t>进口产品</w:t>
            </w:r>
          </w:p>
          <w:p>
            <w:pPr>
              <w:widowControl/>
              <w:jc w:val="left"/>
              <w:rPr>
                <w:color w:val="000000"/>
                <w:kern w:val="0"/>
                <w:sz w:val="24"/>
                <w:highlight w:val="none"/>
              </w:rPr>
            </w:pPr>
            <w:r>
              <w:rPr>
                <w:color w:val="000000"/>
                <w:kern w:val="0"/>
                <w:sz w:val="24"/>
                <w:highlight w:val="none"/>
              </w:rPr>
              <w:t>（如有）</w:t>
            </w:r>
          </w:p>
        </w:tc>
        <w:tc>
          <w:tcPr>
            <w:tcW w:w="3620" w:type="pct"/>
            <w:vAlign w:val="center"/>
          </w:tcPr>
          <w:p>
            <w:pPr>
              <w:widowControl/>
              <w:jc w:val="left"/>
              <w:rPr>
                <w:color w:val="000000"/>
                <w:kern w:val="0"/>
                <w:sz w:val="24"/>
                <w:highlight w:val="none"/>
              </w:rPr>
            </w:pPr>
            <w:r>
              <w:rPr>
                <w:rFonts w:hint="eastAsia" w:ascii="宋体" w:hAnsi="宋体"/>
                <w:sz w:val="24"/>
                <w:highlight w:val="none"/>
              </w:rPr>
              <w:t>磋商文件</w:t>
            </w:r>
            <w:r>
              <w:rPr>
                <w:rFonts w:ascii="宋体" w:hAnsi="宋体"/>
                <w:sz w:val="24"/>
                <w:highlight w:val="none"/>
              </w:rPr>
              <w:t>不接受进口产品响应</w:t>
            </w:r>
            <w:r>
              <w:rPr>
                <w:rFonts w:hint="eastAsia" w:ascii="宋体" w:hAnsi="宋体"/>
                <w:sz w:val="24"/>
                <w:highlight w:val="none"/>
              </w:rPr>
              <w:t>的内容时</w:t>
            </w:r>
            <w:r>
              <w:rPr>
                <w:rFonts w:ascii="宋体" w:hAnsi="宋体"/>
                <w:sz w:val="24"/>
                <w:highlight w:val="none"/>
              </w:rPr>
              <w:t>，</w:t>
            </w:r>
            <w:r>
              <w:rPr>
                <w:rFonts w:hint="eastAsia" w:ascii="宋体" w:hAnsi="宋体"/>
                <w:sz w:val="24"/>
                <w:highlight w:val="none"/>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3</w:t>
            </w:r>
          </w:p>
        </w:tc>
        <w:tc>
          <w:tcPr>
            <w:tcW w:w="976" w:type="pct"/>
            <w:vAlign w:val="center"/>
          </w:tcPr>
          <w:p>
            <w:pPr>
              <w:widowControl/>
              <w:jc w:val="left"/>
              <w:rPr>
                <w:color w:val="000000"/>
                <w:kern w:val="0"/>
                <w:sz w:val="24"/>
                <w:highlight w:val="none"/>
              </w:rPr>
            </w:pPr>
            <w:r>
              <w:rPr>
                <w:color w:val="000000"/>
                <w:kern w:val="0"/>
                <w:sz w:val="24"/>
                <w:highlight w:val="none"/>
              </w:rPr>
              <w:t>国家有关部门对供应商的响应产品有强制性规定或要求的</w:t>
            </w:r>
          </w:p>
        </w:tc>
        <w:tc>
          <w:tcPr>
            <w:tcW w:w="3620" w:type="pct"/>
            <w:vAlign w:val="center"/>
          </w:tcPr>
          <w:p>
            <w:pPr>
              <w:widowControl/>
              <w:jc w:val="left"/>
              <w:rPr>
                <w:color w:val="000000"/>
                <w:kern w:val="0"/>
                <w:sz w:val="24"/>
                <w:highlight w:val="none"/>
              </w:rPr>
            </w:pPr>
            <w:r>
              <w:rPr>
                <w:color w:val="000000"/>
                <w:kern w:val="0"/>
                <w:sz w:val="24"/>
                <w:highlight w:val="none"/>
              </w:rPr>
              <w:t>国家有关部门对供应商的响应产品有强制性规定或要求的（如相应技术、安全、节能和环保等），供应商的响应产品</w:t>
            </w:r>
            <w:r>
              <w:rPr>
                <w:rFonts w:hint="eastAsia"/>
                <w:color w:val="000000"/>
                <w:kern w:val="0"/>
                <w:sz w:val="24"/>
                <w:highlight w:val="none"/>
              </w:rPr>
              <w:t>应</w:t>
            </w:r>
            <w:r>
              <w:rPr>
                <w:color w:val="000000"/>
                <w:kern w:val="0"/>
                <w:sz w:val="24"/>
                <w:highlight w:val="none"/>
              </w:rPr>
              <w:t>符合相应规定或要求</w:t>
            </w:r>
            <w:r>
              <w:rPr>
                <w:rFonts w:hint="eastAsia"/>
                <w:color w:val="000000"/>
                <w:kern w:val="0"/>
                <w:sz w:val="24"/>
                <w:highlight w:val="none"/>
              </w:rPr>
              <w:t>，并提供证明文件：</w:t>
            </w:r>
          </w:p>
          <w:p>
            <w:pPr>
              <w:widowControl/>
              <w:jc w:val="left"/>
              <w:rPr>
                <w:color w:val="000000"/>
                <w:kern w:val="0"/>
                <w:sz w:val="24"/>
                <w:highlight w:val="none"/>
              </w:rPr>
            </w:pPr>
            <w:r>
              <w:rPr>
                <w:rFonts w:hint="eastAsia"/>
                <w:color w:val="000000"/>
                <w:kern w:val="0"/>
                <w:sz w:val="24"/>
                <w:highlight w:val="none"/>
              </w:rPr>
              <w:t>1）</w:t>
            </w:r>
            <w:r>
              <w:rPr>
                <w:color w:val="000000"/>
                <w:kern w:val="0"/>
                <w:sz w:val="24"/>
                <w:highlight w:val="none"/>
              </w:rPr>
              <w:t>采购的产品若属于《节能产品政府采购品目清单》范围中政府强制采购产品，则供应商所报产品必须获得国家确定的认证机构出具的、处于有效期之内的节能产品认证证书；</w:t>
            </w:r>
          </w:p>
          <w:p>
            <w:pPr>
              <w:widowControl/>
              <w:jc w:val="left"/>
              <w:rPr>
                <w:color w:val="000000"/>
                <w:kern w:val="0"/>
                <w:sz w:val="24"/>
                <w:highlight w:val="none"/>
              </w:rPr>
            </w:pPr>
            <w:r>
              <w:rPr>
                <w:rFonts w:hint="eastAsia"/>
                <w:color w:val="000000"/>
                <w:kern w:val="0"/>
                <w:sz w:val="24"/>
                <w:highlight w:val="none"/>
              </w:rPr>
              <w:t>2）</w:t>
            </w:r>
            <w:r>
              <w:rPr>
                <w:color w:val="000000"/>
                <w:kern w:val="0"/>
                <w:sz w:val="24"/>
                <w:highlight w:val="none"/>
              </w:rPr>
              <w:t>响应产品如涉及计算机信息系统安全专用产品的，须</w:t>
            </w:r>
            <w:r>
              <w:rPr>
                <w:rFonts w:hint="eastAsia"/>
                <w:color w:val="000000"/>
                <w:kern w:val="0"/>
                <w:sz w:val="24"/>
                <w:highlight w:val="none"/>
              </w:rPr>
              <w:t>提供</w:t>
            </w:r>
            <w:r>
              <w:rPr>
                <w:color w:val="000000"/>
                <w:kern w:val="0"/>
                <w:sz w:val="24"/>
                <w:highlight w:val="none"/>
              </w:rPr>
              <w:t>公安部颁发的计算机信息系统安全专用产品销售许可证；</w:t>
            </w:r>
          </w:p>
          <w:p>
            <w:pPr>
              <w:widowControl/>
              <w:jc w:val="left"/>
              <w:rPr>
                <w:color w:val="000000"/>
                <w:kern w:val="0"/>
                <w:sz w:val="24"/>
                <w:highlight w:val="none"/>
              </w:rPr>
            </w:pPr>
            <w:r>
              <w:rPr>
                <w:color w:val="000000"/>
                <w:kern w:val="0"/>
                <w:sz w:val="24"/>
                <w:highlight w:val="none"/>
              </w:rPr>
              <w:t>3</w:t>
            </w:r>
            <w:r>
              <w:rPr>
                <w:rFonts w:hint="eastAsia"/>
                <w:color w:val="000000"/>
                <w:kern w:val="0"/>
                <w:sz w:val="24"/>
                <w:highlight w:val="none"/>
              </w:rPr>
              <w:t>）</w:t>
            </w:r>
            <w:r>
              <w:rPr>
                <w:color w:val="000000"/>
                <w:kern w:val="0"/>
                <w:sz w:val="24"/>
                <w:highlight w:val="none"/>
              </w:rPr>
              <w:t>响应产品如有属于开展国家信息安全产品认证产品范围的，须</w:t>
            </w:r>
            <w:r>
              <w:rPr>
                <w:rFonts w:hint="eastAsia"/>
                <w:color w:val="000000"/>
                <w:kern w:val="0"/>
                <w:sz w:val="24"/>
                <w:highlight w:val="none"/>
              </w:rPr>
              <w:t>提供</w:t>
            </w:r>
            <w:r>
              <w:rPr>
                <w:color w:val="000000"/>
                <w:kern w:val="0"/>
                <w:sz w:val="24"/>
                <w:highlight w:val="none"/>
              </w:rPr>
              <w:t>由中国网络安全审查技术与认证中心（原中国信息安全认证中心）按国家标准认证颁发的有效认证证书等）；</w:t>
            </w:r>
          </w:p>
          <w:p>
            <w:pPr>
              <w:widowControl/>
              <w:jc w:val="left"/>
              <w:rPr>
                <w:color w:val="000000"/>
                <w:kern w:val="0"/>
                <w:sz w:val="24"/>
                <w:highlight w:val="none"/>
              </w:rPr>
            </w:pPr>
            <w:r>
              <w:rPr>
                <w:rFonts w:hint="eastAsia"/>
                <w:sz w:val="24"/>
                <w:highlight w:val="none"/>
              </w:rPr>
              <w:t>4）</w:t>
            </w:r>
            <w:r>
              <w:rPr>
                <w:sz w:val="24"/>
                <w:highlight w:val="none"/>
              </w:rPr>
              <w:t>国家有特殊信息安全要求的项目，采购产品涉及无线局域网产品和含有无线局域网功能的计算机、通信设备、打印机、复印机、投影仪等产品的，响应产品须为符合国家无线局域网安全标准（GB15629.11/1102）并通过国家产品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14</w:t>
            </w:r>
          </w:p>
        </w:tc>
        <w:tc>
          <w:tcPr>
            <w:tcW w:w="976" w:type="pct"/>
            <w:vAlign w:val="center"/>
          </w:tcPr>
          <w:p>
            <w:pPr>
              <w:widowControl/>
              <w:jc w:val="left"/>
              <w:rPr>
                <w:color w:val="000000"/>
                <w:kern w:val="0"/>
                <w:sz w:val="24"/>
                <w:highlight w:val="none"/>
              </w:rPr>
            </w:pPr>
            <w:r>
              <w:rPr>
                <w:color w:val="000000"/>
                <w:kern w:val="0"/>
                <w:sz w:val="24"/>
                <w:highlight w:val="none"/>
              </w:rPr>
              <w:t>公平竞争</w:t>
            </w:r>
          </w:p>
        </w:tc>
        <w:tc>
          <w:tcPr>
            <w:tcW w:w="3620" w:type="pct"/>
            <w:vAlign w:val="center"/>
          </w:tcPr>
          <w:p>
            <w:pPr>
              <w:widowControl/>
              <w:jc w:val="left"/>
              <w:rPr>
                <w:color w:val="000000"/>
                <w:kern w:val="0"/>
                <w:sz w:val="24"/>
                <w:highlight w:val="none"/>
              </w:rPr>
            </w:pPr>
            <w:r>
              <w:rPr>
                <w:color w:val="000000"/>
                <w:sz w:val="24"/>
                <w:highlight w:val="none"/>
              </w:rPr>
              <w:t>供应商遵循公平竞争的原则，不存在恶意串通，妨碍其他供应商的竞争行为，不存在损害</w:t>
            </w:r>
            <w:r>
              <w:rPr>
                <w:rFonts w:hint="eastAsia"/>
                <w:color w:val="000000"/>
                <w:sz w:val="24"/>
                <w:highlight w:val="none"/>
                <w:lang w:eastAsia="zh-CN"/>
              </w:rPr>
              <w:t>采购人</w:t>
            </w:r>
            <w:r>
              <w:rPr>
                <w:color w:val="000000"/>
                <w:sz w:val="24"/>
                <w:highlight w:val="none"/>
              </w:rPr>
              <w:t>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15</w:t>
            </w:r>
          </w:p>
        </w:tc>
        <w:tc>
          <w:tcPr>
            <w:tcW w:w="976" w:type="pct"/>
            <w:vAlign w:val="center"/>
          </w:tcPr>
          <w:p>
            <w:pPr>
              <w:widowControl/>
              <w:jc w:val="left"/>
              <w:rPr>
                <w:color w:val="000000"/>
                <w:kern w:val="0"/>
                <w:sz w:val="24"/>
                <w:highlight w:val="none"/>
              </w:rPr>
            </w:pPr>
            <w:r>
              <w:rPr>
                <w:color w:val="000000"/>
                <w:kern w:val="0"/>
                <w:sz w:val="24"/>
                <w:highlight w:val="none"/>
              </w:rPr>
              <w:t>串通响应</w:t>
            </w:r>
          </w:p>
        </w:tc>
        <w:tc>
          <w:tcPr>
            <w:tcW w:w="3620" w:type="pct"/>
            <w:vAlign w:val="center"/>
          </w:tcPr>
          <w:p>
            <w:pPr>
              <w:widowControl/>
              <w:jc w:val="left"/>
              <w:rPr>
                <w:color w:val="000000"/>
                <w:kern w:val="0"/>
                <w:sz w:val="24"/>
                <w:highlight w:val="none"/>
              </w:rPr>
            </w:pPr>
            <w:r>
              <w:rPr>
                <w:rFonts w:hint="eastAsia"/>
                <w:color w:val="000000"/>
                <w:sz w:val="24"/>
                <w:highlight w:val="none"/>
              </w:rPr>
              <w:t>不存在《政府采购货物和服务招标响应管理办法》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rPr>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color w:val="000000"/>
                <w:kern w:val="0"/>
                <w:sz w:val="24"/>
                <w:highlight w:val="none"/>
              </w:rPr>
              <w:t>16</w:t>
            </w:r>
          </w:p>
        </w:tc>
        <w:tc>
          <w:tcPr>
            <w:tcW w:w="976" w:type="pct"/>
            <w:vAlign w:val="center"/>
          </w:tcPr>
          <w:p>
            <w:pPr>
              <w:widowControl/>
              <w:jc w:val="left"/>
              <w:rPr>
                <w:color w:val="000000"/>
                <w:kern w:val="0"/>
                <w:sz w:val="24"/>
                <w:highlight w:val="none"/>
              </w:rPr>
            </w:pPr>
            <w:r>
              <w:rPr>
                <w:color w:val="000000"/>
                <w:kern w:val="0"/>
                <w:sz w:val="24"/>
                <w:highlight w:val="none"/>
              </w:rPr>
              <w:t>附加条件</w:t>
            </w:r>
          </w:p>
        </w:tc>
        <w:tc>
          <w:tcPr>
            <w:tcW w:w="3620" w:type="pct"/>
            <w:vAlign w:val="center"/>
          </w:tcPr>
          <w:p>
            <w:pPr>
              <w:widowControl/>
              <w:jc w:val="left"/>
              <w:rPr>
                <w:color w:val="000000"/>
                <w:kern w:val="0"/>
                <w:sz w:val="24"/>
                <w:highlight w:val="none"/>
              </w:rPr>
            </w:pPr>
            <w:r>
              <w:rPr>
                <w:color w:val="000000"/>
                <w:kern w:val="0"/>
                <w:sz w:val="24"/>
                <w:highlight w:val="none"/>
              </w:rPr>
              <w:t>响应文件</w:t>
            </w:r>
            <w:r>
              <w:rPr>
                <w:rFonts w:hint="eastAsia"/>
                <w:color w:val="000000"/>
                <w:kern w:val="0"/>
                <w:sz w:val="24"/>
                <w:highlight w:val="none"/>
              </w:rPr>
              <w:t>未</w:t>
            </w:r>
            <w:r>
              <w:rPr>
                <w:color w:val="000000"/>
                <w:kern w:val="0"/>
                <w:sz w:val="24"/>
                <w:highlight w:val="none"/>
              </w:rPr>
              <w:t>含有</w:t>
            </w:r>
            <w:r>
              <w:rPr>
                <w:rFonts w:hint="eastAsia"/>
                <w:color w:val="000000"/>
                <w:kern w:val="0"/>
                <w:sz w:val="24"/>
                <w:highlight w:val="none"/>
                <w:lang w:eastAsia="zh-CN"/>
              </w:rPr>
              <w:t>采购人</w:t>
            </w:r>
            <w:r>
              <w:rPr>
                <w:color w:val="000000"/>
                <w:kern w:val="0"/>
                <w:sz w:val="24"/>
                <w:highlight w:val="none"/>
              </w:rPr>
              <w:t>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highlight w:val="none"/>
              </w:rPr>
            </w:pPr>
            <w:r>
              <w:rPr>
                <w:rFonts w:hint="eastAsia"/>
                <w:color w:val="000000"/>
                <w:kern w:val="0"/>
                <w:sz w:val="24"/>
                <w:highlight w:val="none"/>
              </w:rPr>
              <w:t>1</w:t>
            </w:r>
            <w:r>
              <w:rPr>
                <w:color w:val="000000"/>
                <w:kern w:val="0"/>
                <w:sz w:val="24"/>
                <w:highlight w:val="none"/>
              </w:rPr>
              <w:t>7</w:t>
            </w:r>
          </w:p>
        </w:tc>
        <w:tc>
          <w:tcPr>
            <w:tcW w:w="976" w:type="pct"/>
            <w:vAlign w:val="center"/>
          </w:tcPr>
          <w:p>
            <w:pPr>
              <w:widowControl/>
              <w:jc w:val="left"/>
              <w:rPr>
                <w:color w:val="000000"/>
                <w:kern w:val="0"/>
                <w:sz w:val="24"/>
                <w:highlight w:val="none"/>
              </w:rPr>
            </w:pPr>
            <w:r>
              <w:rPr>
                <w:color w:val="000000"/>
                <w:kern w:val="0"/>
                <w:sz w:val="24"/>
                <w:highlight w:val="none"/>
              </w:rPr>
              <w:t>其他无效情形</w:t>
            </w:r>
          </w:p>
        </w:tc>
        <w:tc>
          <w:tcPr>
            <w:tcW w:w="3620" w:type="pct"/>
            <w:vAlign w:val="center"/>
          </w:tcPr>
          <w:p>
            <w:pPr>
              <w:widowControl/>
              <w:jc w:val="left"/>
              <w:rPr>
                <w:color w:val="000000"/>
                <w:kern w:val="0"/>
                <w:sz w:val="24"/>
                <w:highlight w:val="none"/>
              </w:rPr>
            </w:pPr>
            <w:r>
              <w:rPr>
                <w:color w:val="000000"/>
                <w:sz w:val="24"/>
                <w:highlight w:val="none"/>
              </w:rPr>
              <w:t>供应商、响应文件</w:t>
            </w:r>
            <w:r>
              <w:rPr>
                <w:rFonts w:hint="eastAsia"/>
                <w:color w:val="000000"/>
                <w:sz w:val="24"/>
                <w:highlight w:val="none"/>
              </w:rPr>
              <w:t>不存在</w:t>
            </w:r>
            <w:r>
              <w:rPr>
                <w:color w:val="000000"/>
                <w:sz w:val="24"/>
                <w:highlight w:val="none"/>
              </w:rPr>
              <w:t>不符合法律、法规和磋商文件规定的其他无效情形。</w:t>
            </w:r>
          </w:p>
        </w:tc>
      </w:tr>
    </w:tbl>
    <w:p>
      <w:pPr>
        <w:numPr>
          <w:ilvl w:val="0"/>
          <w:numId w:val="14"/>
        </w:numPr>
        <w:tabs>
          <w:tab w:val="left" w:pos="360"/>
        </w:tabs>
        <w:snapToGrid w:val="0"/>
        <w:spacing w:line="360" w:lineRule="auto"/>
        <w:outlineLvl w:val="1"/>
        <w:rPr>
          <w:b/>
          <w:bCs/>
          <w:sz w:val="24"/>
          <w:highlight w:val="none"/>
        </w:rPr>
      </w:pPr>
      <w:r>
        <w:rPr>
          <w:b/>
          <w:bCs/>
          <w:sz w:val="24"/>
          <w:highlight w:val="none"/>
        </w:rPr>
        <w:t>磋商、响应文件有关事项的澄清、说明或者更正和最终报价</w:t>
      </w:r>
    </w:p>
    <w:p>
      <w:pPr>
        <w:tabs>
          <w:tab w:val="left" w:pos="1080"/>
          <w:tab w:val="left" w:pos="1589"/>
        </w:tabs>
        <w:snapToGrid w:val="0"/>
        <w:spacing w:line="360" w:lineRule="auto"/>
        <w:ind w:firstLine="480" w:firstLineChars="200"/>
        <w:rPr>
          <w:sz w:val="24"/>
          <w:highlight w:val="none"/>
        </w:rPr>
      </w:pPr>
      <w:r>
        <w:rPr>
          <w:rFonts w:hint="eastAsia"/>
          <w:sz w:val="24"/>
          <w:highlight w:val="none"/>
        </w:rPr>
        <w:t>2</w:t>
      </w:r>
      <w:r>
        <w:rPr>
          <w:sz w:val="24"/>
          <w:highlight w:val="none"/>
        </w:rPr>
        <w:t>.1磋商小组所有成员应当集中与单一供应商分别进行磋商，并给予所有参加磋商的供应商平等的磋商机会。</w:t>
      </w:r>
    </w:p>
    <w:p>
      <w:pPr>
        <w:tabs>
          <w:tab w:val="left" w:pos="1080"/>
          <w:tab w:val="left" w:pos="1589"/>
          <w:tab w:val="left" w:pos="1872"/>
        </w:tabs>
        <w:snapToGrid w:val="0"/>
        <w:spacing w:line="360" w:lineRule="auto"/>
        <w:ind w:firstLine="480" w:firstLineChars="200"/>
        <w:rPr>
          <w:sz w:val="24"/>
          <w:highlight w:val="none"/>
        </w:rPr>
      </w:pPr>
      <w:r>
        <w:rPr>
          <w:kern w:val="0"/>
          <w:sz w:val="24"/>
          <w:highlight w:val="none"/>
        </w:rPr>
        <w:t>2.2在磋商过程中，磋商小组可以根据磋商文件和磋商情况实质性变动采购需求中的技术、服务要求以及合同草案条款，但不得变动磋商文件中的其他内容。实质性变动的内容，须经</w:t>
      </w:r>
      <w:r>
        <w:rPr>
          <w:rFonts w:hint="eastAsia"/>
          <w:kern w:val="0"/>
          <w:sz w:val="24"/>
          <w:highlight w:val="none"/>
          <w:lang w:eastAsia="zh-CN"/>
        </w:rPr>
        <w:t>采购人</w:t>
      </w:r>
      <w:r>
        <w:rPr>
          <w:kern w:val="0"/>
          <w:sz w:val="24"/>
          <w:highlight w:val="none"/>
        </w:rPr>
        <w:t>代表确认。</w:t>
      </w:r>
    </w:p>
    <w:p>
      <w:pPr>
        <w:tabs>
          <w:tab w:val="left" w:pos="1080"/>
          <w:tab w:val="left" w:pos="1589"/>
          <w:tab w:val="left" w:pos="1872"/>
        </w:tabs>
        <w:snapToGrid w:val="0"/>
        <w:spacing w:line="360" w:lineRule="auto"/>
        <w:ind w:firstLine="480" w:firstLineChars="200"/>
        <w:rPr>
          <w:kern w:val="0"/>
          <w:sz w:val="24"/>
          <w:highlight w:val="none"/>
        </w:rPr>
      </w:pPr>
      <w:r>
        <w:rPr>
          <w:rFonts w:hint="eastAsia"/>
          <w:kern w:val="0"/>
          <w:sz w:val="24"/>
          <w:highlight w:val="none"/>
        </w:rPr>
        <w:t>2</w:t>
      </w:r>
      <w:r>
        <w:rPr>
          <w:kern w:val="0"/>
          <w:sz w:val="24"/>
          <w:highlight w:val="none"/>
        </w:rPr>
        <w:t>.3对磋商文件作出的实质性变动是磋商文件的有效组成部分，磋商小组应当及时以书面形式同时通知所有参加磋商的供应商。</w:t>
      </w:r>
    </w:p>
    <w:p>
      <w:pPr>
        <w:tabs>
          <w:tab w:val="left" w:pos="1080"/>
          <w:tab w:val="left" w:pos="1589"/>
          <w:tab w:val="left" w:pos="1872"/>
        </w:tabs>
        <w:snapToGrid w:val="0"/>
        <w:spacing w:line="360" w:lineRule="auto"/>
        <w:ind w:firstLine="480" w:firstLineChars="200"/>
        <w:rPr>
          <w:kern w:val="0"/>
          <w:sz w:val="24"/>
          <w:highlight w:val="none"/>
        </w:rPr>
      </w:pPr>
      <w:r>
        <w:rPr>
          <w:kern w:val="0"/>
          <w:sz w:val="24"/>
          <w:highlight w:val="none"/>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pPr>
        <w:tabs>
          <w:tab w:val="left" w:pos="1080"/>
          <w:tab w:val="left" w:pos="1589"/>
          <w:tab w:val="left" w:pos="1872"/>
        </w:tabs>
        <w:snapToGrid w:val="0"/>
        <w:spacing w:line="360" w:lineRule="auto"/>
        <w:ind w:firstLine="480" w:firstLineChars="200"/>
        <w:rPr>
          <w:sz w:val="24"/>
          <w:highlight w:val="none"/>
        </w:rPr>
      </w:pPr>
      <w:r>
        <w:rPr>
          <w:rFonts w:hint="eastAsia"/>
          <w:sz w:val="24"/>
          <w:highlight w:val="none"/>
        </w:rPr>
        <w:t>2</w:t>
      </w:r>
      <w:r>
        <w:rPr>
          <w:sz w:val="24"/>
          <w:highlight w:val="none"/>
        </w:rPr>
        <w:t>.5响应文件的澄清、说明或者更正</w:t>
      </w:r>
      <w:r>
        <w:rPr>
          <w:rFonts w:hint="eastAsia"/>
          <w:sz w:val="24"/>
          <w:highlight w:val="none"/>
        </w:rPr>
        <w:t>：</w:t>
      </w:r>
    </w:p>
    <w:p>
      <w:pPr>
        <w:tabs>
          <w:tab w:val="left" w:pos="1980"/>
        </w:tabs>
        <w:snapToGrid w:val="0"/>
        <w:spacing w:line="360" w:lineRule="auto"/>
        <w:ind w:firstLine="480" w:firstLineChars="200"/>
        <w:rPr>
          <w:sz w:val="24"/>
          <w:highlight w:val="none"/>
        </w:rPr>
      </w:pPr>
      <w:r>
        <w:rPr>
          <w:rFonts w:hint="eastAsia"/>
          <w:sz w:val="24"/>
          <w:highlight w:val="none"/>
        </w:rPr>
        <w:t>评审</w:t>
      </w:r>
      <w:r>
        <w:rPr>
          <w:sz w:val="24"/>
          <w:highlight w:val="none"/>
        </w:rPr>
        <w:t>过程中，</w:t>
      </w:r>
      <w:r>
        <w:rPr>
          <w:rFonts w:hint="eastAsia"/>
          <w:sz w:val="24"/>
          <w:highlight w:val="none"/>
        </w:rPr>
        <w:t>磋商小组</w:t>
      </w:r>
      <w:r>
        <w:rPr>
          <w:sz w:val="24"/>
          <w:highlight w:val="none"/>
        </w:rPr>
        <w:t>会将以书面形式要求</w:t>
      </w:r>
      <w:r>
        <w:rPr>
          <w:rFonts w:hint="eastAsia"/>
          <w:sz w:val="24"/>
          <w:highlight w:val="none"/>
        </w:rPr>
        <w:t>供应商</w:t>
      </w:r>
      <w:r>
        <w:rPr>
          <w:sz w:val="24"/>
          <w:highlight w:val="none"/>
        </w:rPr>
        <w:t>对其</w:t>
      </w:r>
      <w:r>
        <w:rPr>
          <w:rFonts w:hint="eastAsia"/>
          <w:sz w:val="24"/>
          <w:highlight w:val="none"/>
        </w:rPr>
        <w:t>响应</w:t>
      </w:r>
      <w:r>
        <w:rPr>
          <w:sz w:val="24"/>
          <w:highlight w:val="none"/>
        </w:rPr>
        <w:t>文件中含义不明确、同类问题表述不一致或者有明显文字和计算错误的内容，作出必要的澄清、说明或者补正。</w:t>
      </w:r>
      <w:r>
        <w:rPr>
          <w:rFonts w:hint="eastAsia"/>
          <w:sz w:val="24"/>
          <w:highlight w:val="none"/>
        </w:rPr>
        <w:t>供应商</w:t>
      </w:r>
      <w:r>
        <w:rPr>
          <w:sz w:val="24"/>
          <w:highlight w:val="none"/>
        </w:rPr>
        <w:t>的澄清、说明或者补正应当采用书面形式，并</w:t>
      </w:r>
      <w:r>
        <w:rPr>
          <w:rFonts w:hint="eastAsia"/>
          <w:sz w:val="24"/>
          <w:highlight w:val="none"/>
        </w:rPr>
        <w:t>签字</w:t>
      </w:r>
      <w:r>
        <w:rPr>
          <w:sz w:val="24"/>
          <w:highlight w:val="none"/>
        </w:rPr>
        <w:t>。</w:t>
      </w:r>
      <w:r>
        <w:rPr>
          <w:rFonts w:hint="eastAsia"/>
          <w:sz w:val="24"/>
          <w:highlight w:val="none"/>
        </w:rPr>
        <w:t>供应商</w:t>
      </w:r>
      <w:r>
        <w:rPr>
          <w:sz w:val="24"/>
          <w:highlight w:val="none"/>
        </w:rPr>
        <w:t>的澄清、说明或者补正不得超出</w:t>
      </w:r>
      <w:r>
        <w:rPr>
          <w:rFonts w:hint="eastAsia"/>
          <w:sz w:val="24"/>
          <w:highlight w:val="none"/>
        </w:rPr>
        <w:t>响应</w:t>
      </w:r>
      <w:r>
        <w:rPr>
          <w:sz w:val="24"/>
          <w:highlight w:val="none"/>
        </w:rPr>
        <w:t>文件的范围或者改变</w:t>
      </w:r>
      <w:r>
        <w:rPr>
          <w:rFonts w:hint="eastAsia"/>
          <w:sz w:val="24"/>
          <w:highlight w:val="none"/>
        </w:rPr>
        <w:t>响应</w:t>
      </w:r>
      <w:r>
        <w:rPr>
          <w:sz w:val="24"/>
          <w:highlight w:val="none"/>
        </w:rPr>
        <w:t>文件的实质性内容。澄清文件将作为</w:t>
      </w:r>
      <w:r>
        <w:rPr>
          <w:rFonts w:hint="eastAsia"/>
          <w:sz w:val="24"/>
          <w:highlight w:val="none"/>
        </w:rPr>
        <w:t>响应</w:t>
      </w:r>
      <w:r>
        <w:rPr>
          <w:sz w:val="24"/>
          <w:highlight w:val="none"/>
        </w:rPr>
        <w:t>文件内容的一部分。</w:t>
      </w:r>
    </w:p>
    <w:p>
      <w:pPr>
        <w:tabs>
          <w:tab w:val="left" w:pos="1080"/>
          <w:tab w:val="left" w:pos="1589"/>
          <w:tab w:val="left" w:pos="1872"/>
        </w:tabs>
        <w:snapToGrid w:val="0"/>
        <w:spacing w:line="360" w:lineRule="auto"/>
        <w:ind w:firstLine="480" w:firstLineChars="200"/>
        <w:rPr>
          <w:rFonts w:hint="eastAsia" w:eastAsia="宋体"/>
          <w:snapToGrid w:val="0"/>
          <w:sz w:val="24"/>
          <w:highlight w:val="none"/>
          <w:lang w:eastAsia="zh-CN"/>
        </w:rPr>
      </w:pPr>
      <w:r>
        <w:rPr>
          <w:snapToGrid w:val="0"/>
          <w:sz w:val="24"/>
          <w:highlight w:val="none"/>
        </w:rPr>
        <w:t>2.6</w:t>
      </w:r>
      <w:r>
        <w:rPr>
          <w:rFonts w:hint="eastAsia"/>
          <w:snapToGrid w:val="0"/>
          <w:sz w:val="24"/>
          <w:highlight w:val="none"/>
        </w:rPr>
        <w:t>磋商结束后，磋商小组将要求所有实质性响应的供应商在规定时间内提交最终报价</w:t>
      </w:r>
      <w:r>
        <w:rPr>
          <w:rFonts w:hint="eastAsia"/>
          <w:snapToGrid w:val="0"/>
          <w:sz w:val="24"/>
          <w:highlight w:val="none"/>
          <w:lang w:eastAsia="zh-CN"/>
        </w:rPr>
        <w:t>。</w:t>
      </w:r>
    </w:p>
    <w:p>
      <w:pPr>
        <w:tabs>
          <w:tab w:val="left" w:pos="1080"/>
          <w:tab w:val="left" w:pos="1589"/>
          <w:tab w:val="left" w:pos="1872"/>
        </w:tabs>
        <w:snapToGrid w:val="0"/>
        <w:spacing w:line="360" w:lineRule="auto"/>
        <w:ind w:firstLine="480" w:firstLineChars="200"/>
        <w:rPr>
          <w:sz w:val="24"/>
          <w:highlight w:val="none"/>
        </w:rPr>
      </w:pPr>
      <w:r>
        <w:rPr>
          <w:rFonts w:hint="eastAsia"/>
          <w:snapToGrid w:val="0"/>
          <w:sz w:val="24"/>
          <w:highlight w:val="none"/>
        </w:rPr>
        <w:t>2</w:t>
      </w:r>
      <w:r>
        <w:rPr>
          <w:snapToGrid w:val="0"/>
          <w:sz w:val="24"/>
          <w:highlight w:val="none"/>
        </w:rPr>
        <w:t>.7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r>
        <w:rPr>
          <w:sz w:val="24"/>
          <w:highlight w:val="none"/>
        </w:rPr>
        <w:t>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pPr>
        <w:tabs>
          <w:tab w:val="left" w:pos="1080"/>
          <w:tab w:val="left" w:pos="1589"/>
          <w:tab w:val="left" w:pos="1872"/>
        </w:tabs>
        <w:snapToGrid w:val="0"/>
        <w:spacing w:line="360" w:lineRule="auto"/>
        <w:ind w:firstLine="480" w:firstLineChars="200"/>
        <w:rPr>
          <w:sz w:val="24"/>
          <w:highlight w:val="none"/>
        </w:rPr>
      </w:pPr>
      <w:r>
        <w:rPr>
          <w:rFonts w:hint="eastAsia"/>
          <w:sz w:val="24"/>
          <w:highlight w:val="none"/>
        </w:rPr>
        <w:t>2</w:t>
      </w:r>
      <w:r>
        <w:rPr>
          <w:sz w:val="24"/>
          <w:highlight w:val="none"/>
        </w:rPr>
        <w:t>.8最终报价是供应商响应文件的有效组成部分。</w:t>
      </w:r>
    </w:p>
    <w:p>
      <w:pPr>
        <w:tabs>
          <w:tab w:val="left" w:pos="1080"/>
          <w:tab w:val="left" w:pos="1589"/>
          <w:tab w:val="left" w:pos="1872"/>
        </w:tabs>
        <w:snapToGrid w:val="0"/>
        <w:spacing w:line="360" w:lineRule="auto"/>
        <w:ind w:firstLine="480" w:firstLineChars="200"/>
        <w:rPr>
          <w:sz w:val="24"/>
          <w:highlight w:val="none"/>
        </w:rPr>
      </w:pPr>
      <w:r>
        <w:rPr>
          <w:sz w:val="24"/>
          <w:highlight w:val="none"/>
        </w:rPr>
        <w:t>2.9已提交响应文件的供应商，在提交最终报价之前，可以根据磋商情况退出磋商。</w:t>
      </w:r>
    </w:p>
    <w:p>
      <w:pPr>
        <w:numPr>
          <w:ilvl w:val="0"/>
          <w:numId w:val="14"/>
        </w:numPr>
        <w:tabs>
          <w:tab w:val="left" w:pos="360"/>
        </w:tabs>
        <w:snapToGrid w:val="0"/>
        <w:spacing w:line="360" w:lineRule="auto"/>
        <w:outlineLvl w:val="1"/>
        <w:rPr>
          <w:b/>
          <w:bCs/>
          <w:sz w:val="24"/>
          <w:highlight w:val="none"/>
        </w:rPr>
      </w:pPr>
      <w:r>
        <w:rPr>
          <w:b/>
          <w:bCs/>
          <w:sz w:val="24"/>
          <w:highlight w:val="none"/>
        </w:rPr>
        <w:t>最终报价的算术修正及政策调整</w:t>
      </w:r>
    </w:p>
    <w:p>
      <w:pPr>
        <w:tabs>
          <w:tab w:val="left" w:pos="1080"/>
          <w:tab w:val="left" w:pos="1589"/>
        </w:tabs>
        <w:snapToGrid w:val="0"/>
        <w:spacing w:line="360" w:lineRule="auto"/>
        <w:ind w:firstLine="480" w:firstLineChars="200"/>
        <w:rPr>
          <w:sz w:val="24"/>
          <w:highlight w:val="none"/>
        </w:rPr>
      </w:pPr>
      <w:r>
        <w:rPr>
          <w:rFonts w:hint="eastAsia"/>
          <w:sz w:val="24"/>
          <w:highlight w:val="none"/>
        </w:rPr>
        <w:t>3</w:t>
      </w:r>
      <w:r>
        <w:rPr>
          <w:sz w:val="24"/>
          <w:highlight w:val="none"/>
        </w:rPr>
        <w:t>.1最终报价须包含竞争性磋商文件全部内容，如</w:t>
      </w:r>
      <w:r>
        <w:rPr>
          <w:rFonts w:hint="eastAsia"/>
          <w:sz w:val="24"/>
          <w:highlight w:val="none"/>
        </w:rPr>
        <w:t>最后</w:t>
      </w:r>
      <w:r>
        <w:rPr>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sz w:val="24"/>
          <w:highlight w:val="none"/>
        </w:rPr>
        <w:t>响应无效</w:t>
      </w:r>
      <w:r>
        <w:rPr>
          <w:sz w:val="24"/>
          <w:highlight w:val="none"/>
        </w:rPr>
        <w:t>。</w:t>
      </w:r>
    </w:p>
    <w:p>
      <w:pPr>
        <w:numPr>
          <w:ilvl w:val="1"/>
          <w:numId w:val="15"/>
        </w:numPr>
        <w:tabs>
          <w:tab w:val="left" w:pos="1080"/>
          <w:tab w:val="left" w:pos="1872"/>
        </w:tabs>
        <w:snapToGrid w:val="0"/>
        <w:spacing w:line="360" w:lineRule="auto"/>
        <w:rPr>
          <w:sz w:val="24"/>
          <w:highlight w:val="none"/>
        </w:rPr>
      </w:pPr>
      <w:r>
        <w:rPr>
          <w:sz w:val="24"/>
          <w:highlight w:val="none"/>
        </w:rPr>
        <w:t>最终报价出现前后不一致的，按照下列规定修正：</w:t>
      </w:r>
    </w:p>
    <w:p>
      <w:pPr>
        <w:tabs>
          <w:tab w:val="left" w:pos="1080"/>
          <w:tab w:val="left" w:pos="1589"/>
          <w:tab w:val="left" w:pos="1980"/>
          <w:tab w:val="left" w:pos="2035"/>
          <w:tab w:val="left" w:pos="2114"/>
        </w:tabs>
        <w:snapToGrid w:val="0"/>
        <w:spacing w:line="360" w:lineRule="auto"/>
        <w:ind w:firstLine="480" w:firstLineChars="200"/>
        <w:rPr>
          <w:sz w:val="24"/>
          <w:highlight w:val="none"/>
        </w:rPr>
      </w:pPr>
      <w:r>
        <w:rPr>
          <w:rFonts w:hint="eastAsia"/>
          <w:sz w:val="24"/>
          <w:highlight w:val="none"/>
        </w:rPr>
        <w:t>3</w:t>
      </w:r>
      <w:r>
        <w:rPr>
          <w:sz w:val="24"/>
          <w:highlight w:val="none"/>
        </w:rPr>
        <w:t>.2.1竞争性磋商文件对于报价修正是否另有规定：</w:t>
      </w:r>
    </w:p>
    <w:p>
      <w:pPr>
        <w:tabs>
          <w:tab w:val="left" w:pos="1080"/>
          <w:tab w:val="left" w:pos="1589"/>
          <w:tab w:val="left" w:pos="2035"/>
          <w:tab w:val="left" w:pos="2114"/>
        </w:tabs>
        <w:snapToGrid w:val="0"/>
        <w:spacing w:line="360" w:lineRule="auto"/>
        <w:ind w:firstLine="960" w:firstLineChars="400"/>
        <w:rPr>
          <w:sz w:val="24"/>
          <w:highlight w:val="none"/>
          <w:u w:val="single"/>
        </w:rPr>
      </w:pPr>
      <w:r>
        <w:rPr>
          <w:sz w:val="24"/>
          <w:highlight w:val="none"/>
        </w:rPr>
        <w:t>□有，具体规定为：___________</w:t>
      </w:r>
    </w:p>
    <w:p>
      <w:pPr>
        <w:tabs>
          <w:tab w:val="left" w:pos="1080"/>
          <w:tab w:val="left" w:pos="1589"/>
          <w:tab w:val="left" w:pos="2035"/>
          <w:tab w:val="left" w:pos="2114"/>
        </w:tabs>
        <w:snapToGrid w:val="0"/>
        <w:spacing w:line="360" w:lineRule="auto"/>
        <w:ind w:firstLine="964" w:firstLineChars="400"/>
        <w:rPr>
          <w:sz w:val="24"/>
          <w:highlight w:val="none"/>
        </w:rPr>
      </w:pPr>
      <w:r>
        <w:rPr>
          <w:b/>
          <w:color w:val="000000"/>
          <w:sz w:val="24"/>
          <w:highlight w:val="none"/>
        </w:rPr>
        <w:t>■</w:t>
      </w:r>
      <w:r>
        <w:rPr>
          <w:sz w:val="24"/>
          <w:highlight w:val="none"/>
        </w:rPr>
        <w:t>无，按下述3.2.2-3.2.5项规定修正。</w:t>
      </w:r>
    </w:p>
    <w:p>
      <w:pPr>
        <w:tabs>
          <w:tab w:val="left" w:pos="1980"/>
          <w:tab w:val="left" w:pos="2035"/>
          <w:tab w:val="left" w:pos="2114"/>
          <w:tab w:val="left" w:pos="2977"/>
        </w:tabs>
        <w:snapToGrid w:val="0"/>
        <w:spacing w:line="360" w:lineRule="auto"/>
        <w:ind w:firstLine="480" w:firstLineChars="200"/>
        <w:rPr>
          <w:color w:val="000000"/>
          <w:sz w:val="24"/>
          <w:highlight w:val="none"/>
        </w:rPr>
      </w:pPr>
      <w:r>
        <w:rPr>
          <w:rFonts w:hint="eastAsia"/>
          <w:color w:val="000000"/>
          <w:sz w:val="24"/>
          <w:highlight w:val="none"/>
        </w:rPr>
        <w:t>3</w:t>
      </w:r>
      <w:r>
        <w:rPr>
          <w:color w:val="000000"/>
          <w:sz w:val="24"/>
          <w:highlight w:val="none"/>
        </w:rPr>
        <w:t>.2.2大写金额和小写金额不一致的，以大写金额为准；</w:t>
      </w:r>
    </w:p>
    <w:p>
      <w:pPr>
        <w:tabs>
          <w:tab w:val="left" w:pos="1980"/>
          <w:tab w:val="left" w:pos="2035"/>
          <w:tab w:val="left" w:pos="2114"/>
          <w:tab w:val="left" w:pos="2977"/>
        </w:tabs>
        <w:snapToGrid w:val="0"/>
        <w:spacing w:line="360" w:lineRule="auto"/>
        <w:ind w:firstLine="480" w:firstLineChars="200"/>
        <w:rPr>
          <w:color w:val="000000"/>
          <w:sz w:val="24"/>
          <w:highlight w:val="none"/>
        </w:rPr>
      </w:pPr>
      <w:r>
        <w:rPr>
          <w:color w:val="000000"/>
          <w:sz w:val="24"/>
          <w:highlight w:val="none"/>
        </w:rPr>
        <w:t>3.2.3单价金额小数点或者百分比有明显错位的，以最终报价一览表的总价为准，并修改单价；</w:t>
      </w:r>
    </w:p>
    <w:p>
      <w:pPr>
        <w:tabs>
          <w:tab w:val="left" w:pos="1980"/>
          <w:tab w:val="left" w:pos="2035"/>
          <w:tab w:val="left" w:pos="2114"/>
          <w:tab w:val="left" w:pos="2977"/>
        </w:tabs>
        <w:snapToGrid w:val="0"/>
        <w:spacing w:line="360" w:lineRule="auto"/>
        <w:ind w:firstLine="480" w:firstLineChars="200"/>
        <w:rPr>
          <w:color w:val="000000"/>
          <w:sz w:val="24"/>
          <w:highlight w:val="none"/>
        </w:rPr>
      </w:pPr>
      <w:r>
        <w:rPr>
          <w:color w:val="000000"/>
          <w:sz w:val="24"/>
          <w:highlight w:val="none"/>
        </w:rPr>
        <w:t>3.2.4总价金额与按单价汇总金额不一致的，以单价金额计算结果为准。</w:t>
      </w:r>
    </w:p>
    <w:p>
      <w:pPr>
        <w:tabs>
          <w:tab w:val="left" w:pos="1080"/>
          <w:tab w:val="left" w:pos="1589"/>
          <w:tab w:val="left" w:pos="1980"/>
          <w:tab w:val="left" w:pos="2035"/>
          <w:tab w:val="left" w:pos="2114"/>
        </w:tabs>
        <w:snapToGrid w:val="0"/>
        <w:spacing w:line="360" w:lineRule="auto"/>
        <w:ind w:firstLine="480" w:firstLineChars="200"/>
        <w:rPr>
          <w:sz w:val="24"/>
          <w:highlight w:val="none"/>
        </w:rPr>
      </w:pPr>
      <w:r>
        <w:rPr>
          <w:sz w:val="24"/>
          <w:highlight w:val="none"/>
        </w:rPr>
        <w:t>3.2.5同时出现两种以上不一致的，按照前款规定的顺序修正。修正后的报价经供应商书面确认后产生约束力，供应商不确认的，</w:t>
      </w:r>
      <w:r>
        <w:rPr>
          <w:b/>
          <w:sz w:val="24"/>
          <w:highlight w:val="none"/>
        </w:rPr>
        <w:t>其响应无效</w:t>
      </w:r>
      <w:r>
        <w:rPr>
          <w:sz w:val="24"/>
          <w:highlight w:val="none"/>
        </w:rPr>
        <w:t>。</w:t>
      </w:r>
    </w:p>
    <w:p>
      <w:pPr>
        <w:tabs>
          <w:tab w:val="left" w:pos="1080"/>
          <w:tab w:val="left" w:pos="1589"/>
          <w:tab w:val="left" w:pos="1980"/>
          <w:tab w:val="left" w:pos="2014"/>
        </w:tabs>
        <w:snapToGrid w:val="0"/>
        <w:spacing w:line="360" w:lineRule="auto"/>
        <w:ind w:firstLine="480" w:firstLineChars="200"/>
        <w:rPr>
          <w:sz w:val="24"/>
          <w:highlight w:val="none"/>
        </w:rPr>
      </w:pPr>
      <w:r>
        <w:rPr>
          <w:sz w:val="24"/>
          <w:highlight w:val="none"/>
        </w:rPr>
        <w:t>3.3.5其他为落实政府采购政策实施的优先采购：</w:t>
      </w:r>
      <w:r>
        <w:rPr>
          <w:sz w:val="24"/>
          <w:highlight w:val="none"/>
          <w:u w:val="single"/>
        </w:rPr>
        <w:t>/</w:t>
      </w:r>
      <w:r>
        <w:rPr>
          <w:sz w:val="24"/>
          <w:highlight w:val="none"/>
        </w:rPr>
        <w:t>。</w:t>
      </w:r>
    </w:p>
    <w:p>
      <w:pPr>
        <w:numPr>
          <w:ilvl w:val="0"/>
          <w:numId w:val="15"/>
        </w:numPr>
        <w:tabs>
          <w:tab w:val="left" w:pos="360"/>
          <w:tab w:val="left" w:pos="900"/>
        </w:tabs>
        <w:snapToGrid w:val="0"/>
        <w:spacing w:line="360" w:lineRule="auto"/>
        <w:outlineLvl w:val="1"/>
        <w:rPr>
          <w:sz w:val="24"/>
          <w:highlight w:val="none"/>
        </w:rPr>
      </w:pPr>
      <w:r>
        <w:rPr>
          <w:b/>
          <w:bCs/>
          <w:sz w:val="24"/>
          <w:highlight w:val="none"/>
        </w:rPr>
        <w:t>磋商环节及提交最终报价后如出现以下情况的，供应商的</w:t>
      </w:r>
      <w:r>
        <w:rPr>
          <w:b/>
          <w:sz w:val="24"/>
          <w:highlight w:val="none"/>
        </w:rPr>
        <w:t>响应文件无效</w:t>
      </w:r>
      <w:r>
        <w:rPr>
          <w:sz w:val="24"/>
          <w:highlight w:val="none"/>
        </w:rPr>
        <w:t>：</w:t>
      </w:r>
    </w:p>
    <w:p>
      <w:pPr>
        <w:tabs>
          <w:tab w:val="left" w:pos="1080"/>
          <w:tab w:val="left" w:pos="1589"/>
        </w:tabs>
        <w:snapToGrid w:val="0"/>
        <w:spacing w:line="360" w:lineRule="auto"/>
        <w:ind w:firstLine="480" w:firstLineChars="200"/>
        <w:rPr>
          <w:sz w:val="24"/>
          <w:highlight w:val="none"/>
        </w:rPr>
      </w:pPr>
      <w:r>
        <w:rPr>
          <w:rFonts w:hint="eastAsia"/>
          <w:sz w:val="24"/>
          <w:highlight w:val="none"/>
        </w:rPr>
        <w:t>4</w:t>
      </w:r>
      <w:r>
        <w:rPr>
          <w:sz w:val="24"/>
          <w:highlight w:val="none"/>
        </w:rPr>
        <w:t>.1供应商对实质性变动不予确认的；</w:t>
      </w:r>
    </w:p>
    <w:p>
      <w:pPr>
        <w:tabs>
          <w:tab w:val="left" w:pos="1080"/>
          <w:tab w:val="left" w:pos="1589"/>
        </w:tabs>
        <w:snapToGrid w:val="0"/>
        <w:spacing w:line="360" w:lineRule="auto"/>
        <w:ind w:firstLine="480" w:firstLineChars="200"/>
        <w:rPr>
          <w:sz w:val="24"/>
          <w:highlight w:val="none"/>
        </w:rPr>
      </w:pPr>
      <w:r>
        <w:rPr>
          <w:sz w:val="24"/>
          <w:highlight w:val="none"/>
        </w:rPr>
        <w:t>4.2不满足磋商文件</w:t>
      </w:r>
      <w:r>
        <w:rPr>
          <w:rFonts w:ascii="Segoe UI Symbol" w:hAnsi="Segoe UI Symbol" w:cs="Segoe UI Symbol"/>
          <w:sz w:val="24"/>
          <w:highlight w:val="none"/>
        </w:rPr>
        <w:t>★</w:t>
      </w:r>
      <w:r>
        <w:rPr>
          <w:sz w:val="24"/>
          <w:highlight w:val="none"/>
        </w:rPr>
        <w:t>号条款或磋商文件技术指标超出磋商文件</w:t>
      </w:r>
      <w:r>
        <w:rPr>
          <w:rFonts w:hint="eastAsia"/>
          <w:sz w:val="24"/>
          <w:highlight w:val="none"/>
        </w:rPr>
        <w:t>《</w:t>
      </w:r>
      <w:r>
        <w:rPr>
          <w:sz w:val="24"/>
          <w:highlight w:val="none"/>
        </w:rPr>
        <w:t>采购需求</w:t>
      </w:r>
      <w:r>
        <w:rPr>
          <w:rFonts w:hint="eastAsia"/>
          <w:sz w:val="24"/>
          <w:highlight w:val="none"/>
        </w:rPr>
        <w:t>》</w:t>
      </w:r>
      <w:r>
        <w:rPr>
          <w:sz w:val="24"/>
          <w:highlight w:val="none"/>
        </w:rPr>
        <w:t>中主要技术参数允许偏差的最大范围的（如有）；</w:t>
      </w:r>
    </w:p>
    <w:p>
      <w:pPr>
        <w:tabs>
          <w:tab w:val="left" w:pos="1080"/>
          <w:tab w:val="left" w:pos="1589"/>
        </w:tabs>
        <w:snapToGrid w:val="0"/>
        <w:spacing w:line="360" w:lineRule="auto"/>
        <w:ind w:firstLine="480" w:firstLineChars="200"/>
        <w:rPr>
          <w:sz w:val="24"/>
          <w:highlight w:val="none"/>
        </w:rPr>
      </w:pPr>
      <w:r>
        <w:rPr>
          <w:sz w:val="24"/>
          <w:highlight w:val="none"/>
        </w:rPr>
        <w:t>4.3未按照磋商小组规定的时间、逾期提交最终报价的；</w:t>
      </w:r>
    </w:p>
    <w:p>
      <w:pPr>
        <w:tabs>
          <w:tab w:val="left" w:pos="1080"/>
          <w:tab w:val="left" w:pos="1589"/>
        </w:tabs>
        <w:snapToGrid w:val="0"/>
        <w:spacing w:line="360" w:lineRule="auto"/>
        <w:ind w:firstLine="480" w:firstLineChars="200"/>
        <w:rPr>
          <w:sz w:val="24"/>
          <w:highlight w:val="none"/>
        </w:rPr>
      </w:pPr>
      <w:r>
        <w:rPr>
          <w:sz w:val="24"/>
          <w:highlight w:val="none"/>
        </w:rPr>
        <w:t>4.4如供应商的最终报价超过竞争性磋商文件中规定的项目/采购包预算金额或者项目/采购包最高限价的；</w:t>
      </w:r>
    </w:p>
    <w:p>
      <w:pPr>
        <w:tabs>
          <w:tab w:val="left" w:pos="1080"/>
          <w:tab w:val="left" w:pos="1589"/>
        </w:tabs>
        <w:snapToGrid w:val="0"/>
        <w:spacing w:line="360" w:lineRule="auto"/>
        <w:ind w:firstLine="480" w:firstLineChars="200"/>
        <w:rPr>
          <w:sz w:val="24"/>
          <w:highlight w:val="none"/>
        </w:rPr>
      </w:pPr>
      <w:r>
        <w:rPr>
          <w:sz w:val="24"/>
          <w:highlight w:val="none"/>
        </w:rPr>
        <w:t>4.5响应文件中出现可选择性或可调整的报价的（竞争性磋商文件另有规定的除外）；</w:t>
      </w:r>
    </w:p>
    <w:p>
      <w:pPr>
        <w:tabs>
          <w:tab w:val="left" w:pos="1080"/>
          <w:tab w:val="left" w:pos="1589"/>
        </w:tabs>
        <w:snapToGrid w:val="0"/>
        <w:spacing w:line="360" w:lineRule="auto"/>
        <w:ind w:firstLine="480" w:firstLineChars="200"/>
        <w:rPr>
          <w:sz w:val="24"/>
          <w:highlight w:val="none"/>
        </w:rPr>
      </w:pPr>
      <w:r>
        <w:rPr>
          <w:sz w:val="24"/>
          <w:highlight w:val="none"/>
        </w:rPr>
        <w:t>4.6最终报价出现前后不一致，供应商对修正后的报价不予确认的；</w:t>
      </w:r>
    </w:p>
    <w:p>
      <w:pPr>
        <w:tabs>
          <w:tab w:val="left" w:pos="1080"/>
          <w:tab w:val="left" w:pos="1589"/>
        </w:tabs>
        <w:snapToGrid w:val="0"/>
        <w:spacing w:line="360" w:lineRule="auto"/>
        <w:ind w:firstLine="480" w:firstLineChars="200"/>
        <w:rPr>
          <w:sz w:val="24"/>
          <w:highlight w:val="none"/>
        </w:rPr>
      </w:pPr>
      <w:r>
        <w:rPr>
          <w:sz w:val="24"/>
          <w:highlight w:val="none"/>
        </w:rPr>
        <w:t>4.7其他：</w:t>
      </w:r>
      <w:r>
        <w:rPr>
          <w:sz w:val="24"/>
          <w:highlight w:val="none"/>
          <w:u w:val="single"/>
        </w:rPr>
        <w:t>/</w:t>
      </w:r>
      <w:r>
        <w:rPr>
          <w:sz w:val="24"/>
          <w:highlight w:val="none"/>
        </w:rPr>
        <w:t>。</w:t>
      </w:r>
    </w:p>
    <w:bookmarkEnd w:id="633"/>
    <w:bookmarkEnd w:id="634"/>
    <w:p>
      <w:pPr>
        <w:numPr>
          <w:ilvl w:val="0"/>
          <w:numId w:val="15"/>
        </w:numPr>
        <w:tabs>
          <w:tab w:val="left" w:pos="360"/>
          <w:tab w:val="left" w:pos="900"/>
        </w:tabs>
        <w:snapToGrid w:val="0"/>
        <w:spacing w:line="360" w:lineRule="auto"/>
        <w:outlineLvl w:val="1"/>
        <w:rPr>
          <w:b/>
          <w:bCs/>
          <w:sz w:val="24"/>
          <w:highlight w:val="none"/>
        </w:rPr>
      </w:pPr>
      <w:r>
        <w:rPr>
          <w:b/>
          <w:bCs/>
          <w:sz w:val="24"/>
          <w:highlight w:val="none"/>
        </w:rPr>
        <w:t>评审方法和评审标准</w:t>
      </w:r>
    </w:p>
    <w:p>
      <w:pPr>
        <w:tabs>
          <w:tab w:val="left" w:pos="1080"/>
          <w:tab w:val="left" w:pos="1589"/>
          <w:tab w:val="left" w:pos="1872"/>
        </w:tabs>
        <w:snapToGrid w:val="0"/>
        <w:spacing w:line="360" w:lineRule="auto"/>
        <w:ind w:firstLine="480" w:firstLineChars="200"/>
        <w:rPr>
          <w:sz w:val="24"/>
          <w:highlight w:val="none"/>
        </w:rPr>
      </w:pPr>
      <w:r>
        <w:rPr>
          <w:rFonts w:hint="eastAsia"/>
          <w:sz w:val="24"/>
          <w:highlight w:val="none"/>
        </w:rPr>
        <w:t>5</w:t>
      </w:r>
      <w:r>
        <w:rPr>
          <w:sz w:val="24"/>
          <w:highlight w:val="none"/>
        </w:rPr>
        <w:t>.1本项目采用的评审方法为：综合评分法。综合评分法，是指响应文件满足磋商文件全部实质性要求且按评审因素的量化指标评审得分最高的供应商为成交候选供应商的评审方法。</w:t>
      </w:r>
    </w:p>
    <w:p>
      <w:pPr>
        <w:tabs>
          <w:tab w:val="left" w:pos="1080"/>
          <w:tab w:val="left" w:pos="1589"/>
          <w:tab w:val="left" w:pos="1872"/>
        </w:tabs>
        <w:snapToGrid w:val="0"/>
        <w:spacing w:line="360" w:lineRule="auto"/>
        <w:ind w:firstLine="480" w:firstLineChars="200"/>
        <w:rPr>
          <w:sz w:val="24"/>
          <w:highlight w:val="none"/>
        </w:rPr>
      </w:pPr>
      <w:r>
        <w:rPr>
          <w:rFonts w:hint="eastAsia"/>
          <w:sz w:val="24"/>
          <w:highlight w:val="none"/>
        </w:rPr>
        <w:t>5</w:t>
      </w:r>
      <w:r>
        <w:rPr>
          <w:sz w:val="24"/>
          <w:highlight w:val="none"/>
        </w:rPr>
        <w:t>.2竞争性磋商文件中没有规定的评审标准不得作为评审依据。</w:t>
      </w:r>
    </w:p>
    <w:p>
      <w:pPr>
        <w:tabs>
          <w:tab w:val="left" w:pos="1080"/>
          <w:tab w:val="left" w:pos="1589"/>
          <w:tab w:val="left" w:pos="1872"/>
        </w:tabs>
        <w:snapToGrid w:val="0"/>
        <w:spacing w:line="360" w:lineRule="auto"/>
        <w:ind w:firstLine="480" w:firstLineChars="200"/>
        <w:rPr>
          <w:sz w:val="24"/>
          <w:highlight w:val="none"/>
        </w:rPr>
      </w:pPr>
      <w:r>
        <w:rPr>
          <w:sz w:val="24"/>
          <w:highlight w:val="none"/>
        </w:rPr>
        <w:t>5.3非政府强制采购的节能产品或环境标志产品，依据品目清单和认证证书实施政府优先采购。优先采购的具体规定（如涉及）</w:t>
      </w:r>
      <w:r>
        <w:rPr>
          <w:sz w:val="24"/>
          <w:highlight w:val="none"/>
          <w:u w:val="single"/>
        </w:rPr>
        <w:t>/</w:t>
      </w:r>
      <w:r>
        <w:rPr>
          <w:sz w:val="24"/>
          <w:highlight w:val="none"/>
        </w:rPr>
        <w:t>。</w:t>
      </w:r>
    </w:p>
    <w:p>
      <w:pPr>
        <w:tabs>
          <w:tab w:val="left" w:pos="1080"/>
          <w:tab w:val="left" w:pos="1589"/>
          <w:tab w:val="left" w:pos="1872"/>
        </w:tabs>
        <w:snapToGrid w:val="0"/>
        <w:spacing w:line="360" w:lineRule="auto"/>
        <w:ind w:firstLine="480" w:firstLineChars="200"/>
        <w:rPr>
          <w:sz w:val="24"/>
          <w:highlight w:val="none"/>
        </w:rPr>
      </w:pPr>
      <w:r>
        <w:rPr>
          <w:rFonts w:hint="eastAsia"/>
          <w:sz w:val="24"/>
          <w:highlight w:val="none"/>
        </w:rPr>
        <w:t>5</w:t>
      </w:r>
      <w:r>
        <w:rPr>
          <w:sz w:val="24"/>
          <w:highlight w:val="none"/>
        </w:rPr>
        <w:t>.4关于无线局域网认证产品政府采购清单中的产品，优先采购的具体规定（如涉及）</w:t>
      </w:r>
      <w:r>
        <w:rPr>
          <w:sz w:val="24"/>
          <w:highlight w:val="none"/>
          <w:u w:val="single"/>
        </w:rPr>
        <w:t>/</w:t>
      </w:r>
      <w:r>
        <w:rPr>
          <w:sz w:val="24"/>
          <w:highlight w:val="none"/>
        </w:rPr>
        <w:t>。</w:t>
      </w:r>
    </w:p>
    <w:p>
      <w:pPr>
        <w:numPr>
          <w:ilvl w:val="0"/>
          <w:numId w:val="15"/>
        </w:numPr>
        <w:tabs>
          <w:tab w:val="left" w:pos="360"/>
          <w:tab w:val="left" w:pos="900"/>
        </w:tabs>
        <w:snapToGrid w:val="0"/>
        <w:spacing w:line="360" w:lineRule="auto"/>
        <w:outlineLvl w:val="1"/>
        <w:rPr>
          <w:b/>
          <w:bCs/>
          <w:sz w:val="24"/>
          <w:highlight w:val="none"/>
        </w:rPr>
      </w:pPr>
      <w:r>
        <w:rPr>
          <w:b/>
          <w:bCs/>
          <w:sz w:val="24"/>
          <w:highlight w:val="none"/>
        </w:rPr>
        <w:t>确定</w:t>
      </w:r>
      <w:bookmarkStart w:id="650" w:name="_Toc150774751"/>
      <w:bookmarkStart w:id="651" w:name="_Toc151193860"/>
      <w:bookmarkStart w:id="652" w:name="_Toc305158888"/>
      <w:bookmarkStart w:id="653" w:name="_Toc150480784"/>
      <w:bookmarkStart w:id="654" w:name="_Toc151193644"/>
      <w:bookmarkStart w:id="655" w:name="_Toc164608815"/>
      <w:bookmarkStart w:id="656" w:name="_Toc520356170"/>
      <w:bookmarkStart w:id="657" w:name="_Toc164229241"/>
      <w:bookmarkStart w:id="658" w:name="_Toc151193716"/>
      <w:bookmarkStart w:id="659" w:name="_Toc151190173"/>
      <w:bookmarkStart w:id="660" w:name="_Toc164608660"/>
      <w:bookmarkStart w:id="661" w:name="_Toc226337242"/>
      <w:bookmarkStart w:id="662" w:name="_Toc226965819"/>
      <w:bookmarkStart w:id="663" w:name="_Toc149720839"/>
      <w:bookmarkStart w:id="664" w:name="_Toc195842911"/>
      <w:bookmarkStart w:id="665" w:name="_Toc265228384"/>
      <w:bookmarkStart w:id="666" w:name="_Toc127151747"/>
      <w:bookmarkStart w:id="667" w:name="_Toc264969236"/>
      <w:bookmarkStart w:id="668" w:name="_Toc305158814"/>
      <w:bookmarkStart w:id="669" w:name="_Toc142311048"/>
      <w:bookmarkStart w:id="670" w:name="_Ref467307010"/>
      <w:bookmarkStart w:id="671" w:name="_Toc127151546"/>
      <w:bookmarkStart w:id="672" w:name="_Toc151193934"/>
      <w:bookmarkStart w:id="673" w:name="_Toc150774646"/>
      <w:bookmarkStart w:id="674" w:name="_Toc150509297"/>
      <w:bookmarkStart w:id="675" w:name="_Toc226309790"/>
      <w:bookmarkStart w:id="676" w:name="_Toc151193788"/>
      <w:bookmarkStart w:id="677" w:name="_Toc164351640"/>
      <w:bookmarkStart w:id="678" w:name="_Toc226965736"/>
      <w:bookmarkStart w:id="679" w:name="_Toc164229387"/>
      <w:bookmarkStart w:id="680" w:name="_Toc127161460"/>
      <w:r>
        <w:rPr>
          <w:b/>
          <w:bCs/>
          <w:sz w:val="24"/>
          <w:highlight w:val="none"/>
        </w:rPr>
        <w:t>成交候选人名单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tabs>
          <w:tab w:val="left" w:pos="1080"/>
          <w:tab w:val="left" w:pos="1589"/>
          <w:tab w:val="left" w:pos="1872"/>
        </w:tabs>
        <w:snapToGrid w:val="0"/>
        <w:spacing w:line="360" w:lineRule="auto"/>
        <w:ind w:firstLine="480" w:firstLineChars="200"/>
        <w:rPr>
          <w:sz w:val="24"/>
          <w:highlight w:val="none"/>
        </w:rPr>
      </w:pPr>
      <w:r>
        <w:rPr>
          <w:rFonts w:hint="eastAsia"/>
          <w:sz w:val="24"/>
          <w:highlight w:val="none"/>
        </w:rPr>
        <w:t>6</w:t>
      </w:r>
      <w:r>
        <w:rPr>
          <w:sz w:val="24"/>
          <w:highlight w:val="none"/>
        </w:rPr>
        <w:t>.1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tabs>
          <w:tab w:val="left" w:pos="1080"/>
          <w:tab w:val="left" w:pos="1589"/>
          <w:tab w:val="left" w:pos="1872"/>
        </w:tabs>
        <w:snapToGrid w:val="0"/>
        <w:spacing w:line="360" w:lineRule="auto"/>
        <w:ind w:firstLine="480" w:firstLineChars="200"/>
        <w:rPr>
          <w:sz w:val="24"/>
          <w:highlight w:val="none"/>
        </w:rPr>
      </w:pPr>
      <w:r>
        <w:rPr>
          <w:rFonts w:hint="eastAsia"/>
          <w:kern w:val="0"/>
          <w:sz w:val="24"/>
          <w:szCs w:val="20"/>
          <w:highlight w:val="none"/>
        </w:rPr>
        <w:t>6</w:t>
      </w:r>
      <w:r>
        <w:rPr>
          <w:kern w:val="0"/>
          <w:sz w:val="24"/>
          <w:szCs w:val="20"/>
          <w:highlight w:val="none"/>
        </w:rPr>
        <w:t>.2磋商小组根据上述供应商排序，依次推荐排序前</w:t>
      </w:r>
      <w:r>
        <w:rPr>
          <w:rFonts w:hint="eastAsia"/>
          <w:sz w:val="24"/>
          <w:highlight w:val="none"/>
        </w:rPr>
        <w:t>3</w:t>
      </w:r>
      <w:r>
        <w:rPr>
          <w:sz w:val="24"/>
          <w:highlight w:val="none"/>
        </w:rPr>
        <w:t>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（若在磋商文件允许的情形下提交最终报价的供应商为二家，则依次推荐二名供应商为成交候选供应商），并编写评审报告。</w:t>
      </w:r>
    </w:p>
    <w:p>
      <w:pPr>
        <w:tabs>
          <w:tab w:val="left" w:pos="1080"/>
          <w:tab w:val="left" w:pos="1589"/>
          <w:tab w:val="left" w:pos="1872"/>
        </w:tabs>
        <w:snapToGrid w:val="0"/>
        <w:spacing w:line="360" w:lineRule="auto"/>
        <w:ind w:firstLine="480" w:firstLineChars="200"/>
        <w:rPr>
          <w:sz w:val="24"/>
          <w:highlight w:val="none"/>
        </w:rPr>
      </w:pPr>
      <w:r>
        <w:rPr>
          <w:sz w:val="24"/>
          <w:highlight w:val="none"/>
        </w:rPr>
        <w:t>6.3磋商小组要对评分汇总情况进行复核，特别是对排名第一的、报价最低的、响应文件被认定为无效的情形进行重点复核。</w:t>
      </w:r>
    </w:p>
    <w:p>
      <w:pPr>
        <w:numPr>
          <w:ilvl w:val="0"/>
          <w:numId w:val="15"/>
        </w:numPr>
        <w:tabs>
          <w:tab w:val="left" w:pos="360"/>
          <w:tab w:val="left" w:pos="900"/>
        </w:tabs>
        <w:snapToGrid w:val="0"/>
        <w:spacing w:line="360" w:lineRule="auto"/>
        <w:outlineLvl w:val="1"/>
        <w:rPr>
          <w:sz w:val="24"/>
          <w:highlight w:val="none"/>
        </w:rPr>
      </w:pPr>
      <w:r>
        <w:rPr>
          <w:sz w:val="24"/>
          <w:highlight w:val="none"/>
        </w:rPr>
        <w:t>报告违法行为</w:t>
      </w:r>
    </w:p>
    <w:p>
      <w:pPr>
        <w:tabs>
          <w:tab w:val="left" w:pos="1080"/>
          <w:tab w:val="left" w:pos="1589"/>
          <w:tab w:val="left" w:pos="1872"/>
        </w:tabs>
        <w:snapToGrid w:val="0"/>
        <w:spacing w:line="360" w:lineRule="auto"/>
        <w:ind w:firstLine="480" w:firstLineChars="200"/>
        <w:rPr>
          <w:sz w:val="24"/>
          <w:highlight w:val="none"/>
          <w:lang w:val="en-US" w:eastAsia="zh-CN"/>
        </w:rPr>
      </w:pPr>
      <w:r>
        <w:rPr>
          <w:rFonts w:hint="eastAsia"/>
          <w:sz w:val="24"/>
          <w:highlight w:val="none"/>
          <w:lang w:val="en-US" w:eastAsia="zh-CN"/>
        </w:rPr>
        <w:t>7</w:t>
      </w:r>
      <w:r>
        <w:rPr>
          <w:sz w:val="24"/>
          <w:highlight w:val="none"/>
          <w:lang w:val="en-US" w:eastAsia="zh-CN"/>
        </w:rPr>
        <w:t>.1磋商小组在评审过程中发现供应商有行贿、提供虚假材料或者串通等违法行为时，有向</w:t>
      </w:r>
      <w:r>
        <w:rPr>
          <w:rFonts w:hint="eastAsia"/>
          <w:sz w:val="24"/>
          <w:highlight w:val="none"/>
          <w:lang w:val="en-US" w:eastAsia="zh-CN"/>
        </w:rPr>
        <w:t>采购人</w:t>
      </w:r>
      <w:r>
        <w:rPr>
          <w:sz w:val="24"/>
          <w:highlight w:val="none"/>
          <w:lang w:val="en-US" w:eastAsia="zh-CN"/>
        </w:rPr>
        <w:t>、采购代理机构或者有关部门报告的职责。</w:t>
      </w:r>
    </w:p>
    <w:p>
      <w:pPr>
        <w:pStyle w:val="19"/>
        <w:spacing w:before="185" w:line="240" w:lineRule="auto"/>
        <w:ind w:left="420" w:right="459"/>
        <w:rPr>
          <w:highlight w:val="none"/>
        </w:rPr>
      </w:pPr>
      <w:r>
        <w:rPr>
          <w:b/>
          <w:highlight w:val="none"/>
        </w:rPr>
        <w:br w:type="page"/>
      </w:r>
      <w:r>
        <w:rPr>
          <w:b/>
          <w:bCs/>
          <w:highlight w:val="none"/>
        </w:rPr>
        <w:t>二、评</w:t>
      </w:r>
      <w:r>
        <w:rPr>
          <w:rFonts w:hint="eastAsia"/>
          <w:b/>
          <w:bCs/>
          <w:highlight w:val="none"/>
        </w:rPr>
        <w:t>审</w:t>
      </w:r>
      <w:r>
        <w:rPr>
          <w:b/>
          <w:bCs/>
          <w:highlight w:val="none"/>
        </w:rPr>
        <w:t>标准</w:t>
      </w:r>
      <w:bookmarkStart w:id="681" w:name="_Toc104818928"/>
    </w:p>
    <w:tbl>
      <w:tblPr>
        <w:tblStyle w:val="51"/>
        <w:tblpPr w:leftFromText="180" w:rightFromText="180" w:vertAnchor="text" w:horzAnchor="page" w:tblpX="762" w:tblpY="396"/>
        <w:tblOverlap w:val="never"/>
        <w:tblW w:w="12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69"/>
        <w:gridCol w:w="695"/>
        <w:gridCol w:w="5036"/>
        <w:gridCol w:w="1787"/>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369" w:type="dxa"/>
            <w:vAlign w:val="center"/>
          </w:tcPr>
          <w:p>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695" w:type="dxa"/>
            <w:vAlign w:val="center"/>
          </w:tcPr>
          <w:p>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5036" w:type="dxa"/>
            <w:vAlign w:val="center"/>
          </w:tcPr>
          <w:p>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1787" w:type="dxa"/>
            <w:vAlign w:val="center"/>
          </w:tcPr>
          <w:p>
            <w:pPr>
              <w:pStyle w:val="268"/>
              <w:spacing w:before="0"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c>
          <w:tcPr>
            <w:tcW w:w="1787" w:type="dxa"/>
            <w:vAlign w:val="center"/>
          </w:tcPr>
          <w:p>
            <w:pPr>
              <w:pStyle w:val="268"/>
              <w:spacing w:before="0" w:after="0" w:line="24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ind w:firstLine="28"/>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369" w:type="dxa"/>
            <w:vAlign w:val="center"/>
          </w:tcPr>
          <w:p>
            <w:pPr>
              <w:ind w:firstLine="28"/>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价格分</w:t>
            </w:r>
          </w:p>
        </w:tc>
        <w:tc>
          <w:tcPr>
            <w:tcW w:w="695" w:type="dxa"/>
            <w:vAlign w:val="center"/>
          </w:tcPr>
          <w:p>
            <w:pPr>
              <w:ind w:firstLine="28"/>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30</w:t>
            </w:r>
          </w:p>
        </w:tc>
        <w:tc>
          <w:tcPr>
            <w:tcW w:w="5036" w:type="dxa"/>
            <w:vAlign w:val="center"/>
          </w:tcPr>
          <w:p>
            <w:pPr>
              <w:adjustRightInd w:val="0"/>
              <w:snapToGrid w:val="0"/>
              <w:spacing w:line="24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价格分采用低价优先法计算，即满足磋商文件要求且磋商价格最低的投标报价为</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zh-CN"/>
              </w:rPr>
              <w:t>基准价，其价格分为满分。其他供应商的价格分统一按照下列公式计算（计算结果四舍五入保留两位小数）：</w:t>
            </w:r>
          </w:p>
          <w:p>
            <w:pPr>
              <w:spacing w:line="240" w:lineRule="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val="zh-CN"/>
              </w:rPr>
              <w:t>磋商报价得分=（</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zh-CN"/>
              </w:rPr>
              <w:t>基准价/投标报价）×</w:t>
            </w:r>
            <w:r>
              <w:rPr>
                <w:rFonts w:hint="eastAsia" w:ascii="宋体" w:hAnsi="宋体" w:eastAsia="宋体" w:cs="宋体"/>
                <w:sz w:val="24"/>
                <w:szCs w:val="24"/>
                <w:highlight w:val="none"/>
                <w:lang w:val="en-US" w:eastAsia="zh-CN"/>
              </w:rPr>
              <w:t>分值</w:t>
            </w:r>
          </w:p>
        </w:tc>
        <w:tc>
          <w:tcPr>
            <w:tcW w:w="1787" w:type="dxa"/>
            <w:vAlign w:val="center"/>
          </w:tcPr>
          <w:p>
            <w:pPr>
              <w:ind w:left="-38"/>
              <w:jc w:val="center"/>
              <w:rPr>
                <w:rFonts w:hint="eastAsia" w:ascii="宋体" w:hAnsi="宋体" w:eastAsia="宋体" w:cs="宋体"/>
                <w:b/>
                <w:bCs/>
                <w:sz w:val="24"/>
                <w:szCs w:val="24"/>
                <w:highlight w:val="none"/>
              </w:rPr>
            </w:pPr>
          </w:p>
        </w:tc>
        <w:tc>
          <w:tcPr>
            <w:tcW w:w="1787" w:type="dxa"/>
            <w:vAlign w:val="center"/>
          </w:tcPr>
          <w:p>
            <w:pPr>
              <w:ind w:left="-38"/>
              <w:jc w:val="center"/>
              <w:rPr>
                <w:rFonts w:hint="eastAsia" w:ascii="宋体" w:hAnsi="宋体" w:eastAsia="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17" w:type="dxa"/>
            <w:vAlign w:val="center"/>
          </w:tcPr>
          <w:p>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9" w:type="dxa"/>
            <w:vAlign w:val="center"/>
          </w:tcPr>
          <w:p>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695" w:type="dxa"/>
            <w:vAlign w:val="center"/>
          </w:tcPr>
          <w:p>
            <w:pPr>
              <w:ind w:firstLine="2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w:t>
            </w:r>
          </w:p>
        </w:tc>
        <w:tc>
          <w:tcPr>
            <w:tcW w:w="5036" w:type="dxa"/>
            <w:vAlign w:val="center"/>
          </w:tcPr>
          <w:p>
            <w:pPr>
              <w:rPr>
                <w:rFonts w:hint="eastAsia" w:ascii="宋体" w:hAnsi="宋体" w:eastAsia="宋体" w:cs="宋体"/>
                <w:color w:val="FF0000"/>
                <w:sz w:val="24"/>
                <w:szCs w:val="24"/>
                <w:highlight w:val="yellow"/>
              </w:rPr>
            </w:pPr>
          </w:p>
        </w:tc>
        <w:tc>
          <w:tcPr>
            <w:tcW w:w="1787" w:type="dxa"/>
            <w:vAlign w:val="center"/>
          </w:tcPr>
          <w:p>
            <w:pPr>
              <w:ind w:left="-38"/>
              <w:rPr>
                <w:rFonts w:hint="eastAsia" w:ascii="宋体" w:hAnsi="宋体" w:eastAsia="宋体" w:cs="宋体"/>
                <w:color w:val="FF0000"/>
                <w:sz w:val="24"/>
                <w:szCs w:val="24"/>
                <w:highlight w:val="yellow"/>
              </w:rPr>
            </w:pPr>
          </w:p>
        </w:tc>
        <w:tc>
          <w:tcPr>
            <w:tcW w:w="1787" w:type="dxa"/>
            <w:vAlign w:val="center"/>
          </w:tcPr>
          <w:p>
            <w:pPr>
              <w:ind w:left="-38"/>
              <w:rPr>
                <w:rFonts w:hint="eastAsia" w:ascii="宋体" w:hAnsi="宋体" w:eastAsia="宋体" w:cs="宋体"/>
                <w:color w:val="FF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817"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369" w:type="dxa"/>
            <w:vMerge w:val="restart"/>
            <w:vAlign w:val="center"/>
          </w:tcPr>
          <w:p>
            <w:pPr>
              <w:ind w:firstLine="28" w:firstLineChars="0"/>
              <w:jc w:val="center"/>
              <w:rPr>
                <w:rFonts w:hint="eastAsia" w:ascii="宋体" w:hAnsi="宋体" w:eastAsia="宋体" w:cs="宋体"/>
                <w:color w:val="auto"/>
                <w:kern w:val="0"/>
                <w:sz w:val="24"/>
                <w:szCs w:val="24"/>
                <w:highlight w:val="none"/>
                <w:lang w:val="zh-CN"/>
              </w:rPr>
            </w:pPr>
            <w:r>
              <w:rPr>
                <w:rFonts w:hint="eastAsia" w:ascii="宋体" w:hAnsi="宋体" w:eastAsia="宋体" w:cs="宋体"/>
                <w:sz w:val="24"/>
                <w:szCs w:val="24"/>
                <w:highlight w:val="none"/>
              </w:rPr>
              <w:t>施工组织设计</w:t>
            </w:r>
          </w:p>
        </w:tc>
        <w:tc>
          <w:tcPr>
            <w:tcW w:w="695" w:type="dxa"/>
            <w:vAlign w:val="center"/>
          </w:tcPr>
          <w:p>
            <w:pPr>
              <w:pStyle w:val="201"/>
              <w:jc w:val="center"/>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rPr>
              <w:t>6</w:t>
            </w:r>
          </w:p>
        </w:tc>
        <w:tc>
          <w:tcPr>
            <w:tcW w:w="5036" w:type="dxa"/>
            <w:vAlign w:val="center"/>
          </w:tcPr>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总体概述：包括工程概况、施工组织总体设想、方案的针对性及施工段的划分：</w:t>
            </w:r>
          </w:p>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(1)施工组织总体设想：方案完整、可行，能完全满足项目实施要求，得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分；方案较具体、可行，能基本满足项目实施要求，得2分；方案内容较简单，对项目实施要求响应一般，得1分；未提供不得分。</w:t>
            </w:r>
          </w:p>
          <w:p>
            <w:pPr>
              <w:pStyle w:val="201"/>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(2)方案的针对性及施工段的划分：方案完整、可行，能完全满足项目实施要求，得3分；方案较具体、可行，能基本满足项目实施要求，得2分；方案内容较简单，对项目实施要求响应一般，得1分；未提供不得分。</w:t>
            </w:r>
          </w:p>
        </w:tc>
        <w:tc>
          <w:tcPr>
            <w:tcW w:w="1787" w:type="dxa"/>
            <w:vAlign w:val="center"/>
          </w:tcPr>
          <w:p>
            <w:pPr>
              <w:ind w:left="-38"/>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17"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2369" w:type="dxa"/>
            <w:vMerge w:val="continue"/>
            <w:vAlign w:val="center"/>
          </w:tcPr>
          <w:p>
            <w:pPr>
              <w:ind w:firstLine="28" w:firstLineChars="0"/>
              <w:jc w:val="center"/>
              <w:rPr>
                <w:rFonts w:hint="eastAsia" w:ascii="宋体" w:hAnsi="宋体" w:eastAsia="宋体" w:cs="宋体"/>
                <w:color w:val="auto"/>
                <w:kern w:val="0"/>
                <w:sz w:val="24"/>
                <w:szCs w:val="24"/>
                <w:highlight w:val="none"/>
                <w:lang w:val="zh-CN"/>
              </w:rPr>
            </w:pPr>
          </w:p>
        </w:tc>
        <w:tc>
          <w:tcPr>
            <w:tcW w:w="695" w:type="dxa"/>
            <w:vAlign w:val="center"/>
          </w:tcPr>
          <w:p>
            <w:pPr>
              <w:pStyle w:val="201"/>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5036" w:type="dxa"/>
            <w:vAlign w:val="center"/>
          </w:tcPr>
          <w:p>
            <w:pPr>
              <w:pStyle w:val="201"/>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施工进度计划网络图和各阶段的进度计划表以及进度保证措施：</w:t>
            </w:r>
          </w:p>
          <w:p>
            <w:pPr>
              <w:pStyle w:val="201"/>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(1)施工进度计划网络图和各阶段的进度计划表,计划安排科学且合理，完全满足项目工期要求，得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分；计划安排较合理，基本满足项目工期要求，得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分；计划安排较合理，得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分；未提供不得分。</w:t>
            </w:r>
          </w:p>
          <w:p>
            <w:pPr>
              <w:pStyle w:val="201"/>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zh-CN"/>
              </w:rPr>
              <w:t>(2)进度保证措施：措施方案完整、可行，能完全满足项目实施要求，得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分；措施方案较具体、可行，能基本满足项目实施要求，得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分；措施方案内容较简单，对项目实施要求响应一般，得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分；未提供不得分。</w:t>
            </w:r>
          </w:p>
        </w:tc>
        <w:tc>
          <w:tcPr>
            <w:tcW w:w="1787" w:type="dxa"/>
            <w:vAlign w:val="center"/>
          </w:tcPr>
          <w:p>
            <w:pPr>
              <w:ind w:left="-38"/>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817"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2369" w:type="dxa"/>
            <w:vMerge w:val="continue"/>
            <w:vAlign w:val="center"/>
          </w:tcPr>
          <w:p>
            <w:pPr>
              <w:ind w:firstLine="28" w:firstLineChars="0"/>
              <w:jc w:val="center"/>
              <w:rPr>
                <w:rFonts w:hint="eastAsia" w:ascii="宋体" w:hAnsi="宋体" w:eastAsia="宋体" w:cs="宋体"/>
                <w:color w:val="auto"/>
                <w:kern w:val="0"/>
                <w:sz w:val="24"/>
                <w:szCs w:val="24"/>
                <w:highlight w:val="none"/>
                <w:lang w:val="zh-CN"/>
              </w:rPr>
            </w:pPr>
          </w:p>
        </w:tc>
        <w:tc>
          <w:tcPr>
            <w:tcW w:w="695" w:type="dxa"/>
            <w:vAlign w:val="center"/>
          </w:tcPr>
          <w:p>
            <w:pPr>
              <w:pStyle w:val="201"/>
              <w:jc w:val="center"/>
              <w:rPr>
                <w:rFonts w:hint="default"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rPr>
              <w:t>12</w:t>
            </w:r>
          </w:p>
        </w:tc>
        <w:tc>
          <w:tcPr>
            <w:tcW w:w="5036" w:type="dxa"/>
            <w:vAlign w:val="center"/>
          </w:tcPr>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施工现场平面布置图：包括临时设施的布置，施工机械、材料、周转材料、加工场地、各类仓库的布置摆放、临时线路的布置等：</w:t>
            </w:r>
          </w:p>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(1)临时设施的布置：方案完整、可行，能完全满足项目实施要求，得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分；方案较具体、可行，能基本满足项目实施要求，得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分；方案内容较简单，对项目实施要求响应一般，得基本分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(2)施工机械、材料、周转材料、加工场地、各类仓库的布置摆放：方案完整、可行，能完全满足项目实施要求，得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分；方案较具体、可行，能基本满足项目实施要求，得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分；方案内容较简单，对项目实施要求响应一般，得基本分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p>
            <w:pPr>
              <w:pStyle w:val="201"/>
              <w:jc w:val="both"/>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sz w:val="24"/>
                <w:szCs w:val="24"/>
                <w:highlight w:val="none"/>
              </w:rPr>
              <w:t>(3)临时线路的布置等：方案完整、可行，能完全满足项目实施要求，得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分；方案较具体、可行，能基本满足项目实施要求，得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分；方案内容较简单，对项目实施要求响应一般，得基本分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tc>
        <w:tc>
          <w:tcPr>
            <w:tcW w:w="1787" w:type="dxa"/>
            <w:vAlign w:val="center"/>
          </w:tcPr>
          <w:p>
            <w:pPr>
              <w:ind w:left="-38"/>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817"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369" w:type="dxa"/>
            <w:vMerge w:val="continue"/>
            <w:vAlign w:val="center"/>
          </w:tcPr>
          <w:p>
            <w:pPr>
              <w:ind w:firstLine="28" w:firstLineChars="0"/>
              <w:jc w:val="center"/>
              <w:rPr>
                <w:rFonts w:hint="eastAsia" w:ascii="宋体" w:hAnsi="宋体" w:eastAsia="宋体" w:cs="宋体"/>
                <w:color w:val="auto"/>
                <w:kern w:val="0"/>
                <w:sz w:val="24"/>
                <w:szCs w:val="24"/>
                <w:highlight w:val="none"/>
                <w:lang w:val="zh-CN"/>
              </w:rPr>
            </w:pPr>
          </w:p>
        </w:tc>
        <w:tc>
          <w:tcPr>
            <w:tcW w:w="695" w:type="dxa"/>
            <w:vAlign w:val="center"/>
          </w:tcPr>
          <w:p>
            <w:pPr>
              <w:pStyle w:val="201"/>
              <w:jc w:val="center"/>
              <w:rPr>
                <w:rFonts w:hint="eastAsia" w:ascii="宋体" w:hAnsi="宋体" w:eastAsia="宋体" w:cs="宋体"/>
                <w:sz w:val="24"/>
                <w:szCs w:val="24"/>
                <w:highlight w:val="none"/>
                <w:lang w:eastAsia="zh-CN"/>
              </w:rPr>
            </w:pPr>
            <w:r>
              <w:rPr>
                <w:rFonts w:hint="eastAsia" w:ascii="宋体" w:hAnsi="宋体" w:cs="宋体"/>
                <w:color w:val="auto"/>
                <w:kern w:val="2"/>
                <w:sz w:val="24"/>
                <w:szCs w:val="24"/>
                <w:highlight w:val="none"/>
                <w:lang w:val="en-US" w:eastAsia="zh-CN"/>
              </w:rPr>
              <w:t>8</w:t>
            </w:r>
          </w:p>
        </w:tc>
        <w:tc>
          <w:tcPr>
            <w:tcW w:w="5036" w:type="dxa"/>
            <w:vAlign w:val="center"/>
          </w:tcPr>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劳动力、施工机械设备及材料的投入计划和进退场计划：</w:t>
            </w:r>
          </w:p>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(1)劳动力、施工机械设备及材料的投入计划：方案完整、可行，能完全满足项目实施要求，得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分；方案较具体、可行，能基本满足项目实施要求，得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分；方案内容较简单，对项目实施要求响应一般，得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p>
            <w:pPr>
              <w:pStyle w:val="201"/>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(2)进退场计划：方案完整、可行，能完全满足项目实施要求，得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分；方案较具体、可行，能基本满足项目实施要求，得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分；方案内容较简单，对项目实施要求响应一般，得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tc>
        <w:tc>
          <w:tcPr>
            <w:tcW w:w="1787" w:type="dxa"/>
            <w:vAlign w:val="center"/>
          </w:tcPr>
          <w:p>
            <w:pPr>
              <w:ind w:left="-38"/>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817"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2369" w:type="dxa"/>
            <w:vMerge w:val="continue"/>
            <w:vAlign w:val="center"/>
          </w:tcPr>
          <w:p>
            <w:pPr>
              <w:ind w:firstLine="28" w:firstLineChars="0"/>
              <w:jc w:val="center"/>
              <w:rPr>
                <w:rFonts w:hint="eastAsia" w:ascii="宋体" w:hAnsi="宋体" w:eastAsia="宋体" w:cs="宋体"/>
                <w:color w:val="auto"/>
                <w:kern w:val="0"/>
                <w:sz w:val="24"/>
                <w:szCs w:val="24"/>
                <w:highlight w:val="none"/>
                <w:lang w:val="zh-CN"/>
              </w:rPr>
            </w:pPr>
          </w:p>
        </w:tc>
        <w:tc>
          <w:tcPr>
            <w:tcW w:w="695" w:type="dxa"/>
            <w:vAlign w:val="center"/>
          </w:tcPr>
          <w:p>
            <w:pPr>
              <w:pStyle w:val="201"/>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5036" w:type="dxa"/>
            <w:vAlign w:val="center"/>
          </w:tcPr>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安全施工、文明施工、环境保护、消防措施：</w:t>
            </w:r>
          </w:p>
          <w:p>
            <w:pPr>
              <w:pStyle w:val="2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(1)安全施工、文明施工、环境保护：措施方案完整、可行，能完全满足项目实施要求，得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分；措施方案内容较简单，对项目实施要求响应一般，得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分；方案内容较差、无针对性或可行性较差，得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分；未提供的不得分。</w:t>
            </w:r>
          </w:p>
          <w:p>
            <w:pPr>
              <w:pStyle w:val="201"/>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(2)消防措施：措施方案完整、可行，能完全满足项目实施要求，得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分；措施方案内容较简单，对项目实施要求响应一般，得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分；方案内容较差、无针对性或可行性较差，得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tc>
        <w:tc>
          <w:tcPr>
            <w:tcW w:w="1787" w:type="dxa"/>
            <w:vAlign w:val="center"/>
          </w:tcPr>
          <w:p>
            <w:pPr>
              <w:ind w:left="-38"/>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817" w:type="dxa"/>
            <w:vAlign w:val="center"/>
          </w:tcPr>
          <w:p>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369" w:type="dxa"/>
            <w:vAlign w:val="center"/>
          </w:tcPr>
          <w:p>
            <w:pPr>
              <w:spacing w:line="240" w:lineRule="auto"/>
              <w:jc w:val="center"/>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售后服务</w:t>
            </w:r>
          </w:p>
        </w:tc>
        <w:tc>
          <w:tcPr>
            <w:tcW w:w="695" w:type="dxa"/>
            <w:vAlign w:val="center"/>
          </w:tcPr>
          <w:p>
            <w:pPr>
              <w:ind w:firstLine="28" w:firstLineChars="0"/>
              <w:jc w:val="center"/>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3</w:t>
            </w:r>
          </w:p>
        </w:tc>
        <w:tc>
          <w:tcPr>
            <w:tcW w:w="5036" w:type="dxa"/>
            <w:vAlign w:val="center"/>
          </w:tcPr>
          <w:p>
            <w:pPr>
              <w:spacing w:line="24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供应商有明确的后期维修服务方案，方案中包含后期服务体系、后期服务机构及人员、后期维修方案等进行评审：方案完整、可行，能完全满足项目实施要求，得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分；方案较具体、可行，能基本满足项目实施要求，得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分；方案内容较简单，对项目实施要求响应一般，得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分；内容差、无针对性或未提供不得分。</w:t>
            </w:r>
          </w:p>
        </w:tc>
        <w:tc>
          <w:tcPr>
            <w:tcW w:w="1787" w:type="dxa"/>
            <w:vAlign w:val="center"/>
          </w:tcPr>
          <w:p>
            <w:pPr>
              <w:ind w:left="-38"/>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17"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69"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客观分</w:t>
            </w:r>
          </w:p>
        </w:tc>
        <w:tc>
          <w:tcPr>
            <w:tcW w:w="695" w:type="dxa"/>
            <w:vAlign w:val="center"/>
          </w:tcPr>
          <w:p>
            <w:pPr>
              <w:ind w:firstLine="28"/>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5036" w:type="dxa"/>
            <w:vAlign w:val="center"/>
          </w:tcPr>
          <w:p>
            <w:pPr>
              <w:spacing w:line="240" w:lineRule="auto"/>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c>
          <w:tcPr>
            <w:tcW w:w="1787" w:type="dxa"/>
            <w:vAlign w:val="center"/>
          </w:tcPr>
          <w:p>
            <w:pPr>
              <w:ind w:left="-38"/>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369" w:type="dxa"/>
            <w:vMerge w:val="restart"/>
            <w:vAlign w:val="center"/>
          </w:tcPr>
          <w:p>
            <w:pPr>
              <w:spacing w:line="240" w:lineRule="auto"/>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项目组人员</w:t>
            </w:r>
          </w:p>
        </w:tc>
        <w:tc>
          <w:tcPr>
            <w:tcW w:w="695" w:type="dxa"/>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textAlignment w:val="baseline"/>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5036" w:type="dxa"/>
            <w:vAlign w:val="center"/>
          </w:tcPr>
          <w:p>
            <w:pPr>
              <w:spacing w:line="240" w:lineRule="auto"/>
              <w:textAlignment w:val="baseline"/>
              <w:rPr>
                <w:rFonts w:hint="default" w:ascii="宋体" w:hAnsi="宋体" w:eastAsia="宋体" w:cs="宋体"/>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项目负责人</w:t>
            </w:r>
            <w:r>
              <w:rPr>
                <w:rFonts w:hint="eastAsia" w:ascii="宋体" w:hAnsi="宋体" w:eastAsia="宋体" w:cs="宋体"/>
                <w:b w:val="0"/>
                <w:bCs/>
                <w:color w:val="auto"/>
                <w:kern w:val="0"/>
                <w:sz w:val="24"/>
                <w:szCs w:val="24"/>
                <w:highlight w:val="none"/>
                <w:lang w:val="en-US" w:eastAsia="zh-CN"/>
              </w:rPr>
              <w:t>具有具有建设工程类中级</w:t>
            </w:r>
            <w:r>
              <w:rPr>
                <w:rFonts w:hint="eastAsia" w:ascii="宋体" w:hAnsi="宋体" w:cs="宋体"/>
                <w:b w:val="0"/>
                <w:bCs/>
                <w:color w:val="auto"/>
                <w:kern w:val="0"/>
                <w:sz w:val="24"/>
                <w:szCs w:val="24"/>
                <w:highlight w:val="none"/>
                <w:lang w:val="en-US" w:eastAsia="zh-CN"/>
              </w:rPr>
              <w:t>及以上</w:t>
            </w:r>
            <w:r>
              <w:rPr>
                <w:rFonts w:hint="eastAsia" w:ascii="宋体" w:hAnsi="宋体" w:eastAsia="宋体" w:cs="宋体"/>
                <w:b w:val="0"/>
                <w:bCs/>
                <w:color w:val="auto"/>
                <w:kern w:val="0"/>
                <w:sz w:val="24"/>
                <w:szCs w:val="24"/>
                <w:highlight w:val="none"/>
                <w:lang w:val="en-US" w:eastAsia="zh-CN"/>
              </w:rPr>
              <w:t>工程师职称的得</w:t>
            </w:r>
            <w:r>
              <w:rPr>
                <w:rFonts w:hint="eastAsia" w:ascii="宋体" w:hAnsi="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val="en-US" w:eastAsia="zh-CN"/>
              </w:rPr>
              <w:t>分，本项最高得</w:t>
            </w:r>
            <w:r>
              <w:rPr>
                <w:rFonts w:hint="eastAsia" w:ascii="宋体" w:hAnsi="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val="en-US" w:eastAsia="zh-CN"/>
              </w:rPr>
              <w:t>分</w:t>
            </w:r>
            <w:r>
              <w:rPr>
                <w:rFonts w:hint="eastAsia" w:ascii="宋体" w:hAnsi="宋体" w:cs="宋体"/>
                <w:b w:val="0"/>
                <w:bCs/>
                <w:color w:val="auto"/>
                <w:kern w:val="0"/>
                <w:sz w:val="24"/>
                <w:szCs w:val="24"/>
                <w:highlight w:val="none"/>
                <w:lang w:val="en-US" w:eastAsia="zh-CN"/>
              </w:rPr>
              <w:t>。</w:t>
            </w:r>
          </w:p>
        </w:tc>
        <w:tc>
          <w:tcPr>
            <w:tcW w:w="1787" w:type="dxa"/>
            <w:vMerge w:val="restart"/>
            <w:vAlign w:val="center"/>
          </w:tcPr>
          <w:p>
            <w:pPr>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val="en-US" w:eastAsia="zh-CN"/>
              </w:rPr>
              <w:t>提供相关职称证书</w:t>
            </w:r>
            <w:r>
              <w:rPr>
                <w:rFonts w:hint="eastAsia" w:ascii="宋体" w:hAnsi="宋体" w:cs="宋体"/>
                <w:color w:val="auto"/>
                <w:kern w:val="0"/>
                <w:sz w:val="24"/>
                <w:szCs w:val="24"/>
                <w:highlight w:val="none"/>
                <w:lang w:val="en-US" w:eastAsia="zh-CN"/>
              </w:rPr>
              <w:t>复印件加盖公章</w:t>
            </w:r>
            <w:r>
              <w:rPr>
                <w:rFonts w:hint="eastAsia" w:ascii="宋体" w:hAnsi="宋体" w:eastAsia="宋体" w:cs="宋体"/>
                <w:color w:val="auto"/>
                <w:kern w:val="0"/>
                <w:sz w:val="24"/>
                <w:szCs w:val="24"/>
                <w:highlight w:val="none"/>
                <w:lang w:val="en-US" w:eastAsia="zh-CN"/>
              </w:rPr>
              <w:t>及供应商为其缴纳的近三个月（2024年</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月-2024年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月）的社保证明材料，未提供不得分。</w:t>
            </w:r>
          </w:p>
        </w:tc>
        <w:tc>
          <w:tcPr>
            <w:tcW w:w="1787" w:type="dxa"/>
            <w:vAlign w:val="center"/>
          </w:tcPr>
          <w:p>
            <w:pPr>
              <w:rPr>
                <w:rFonts w:hint="eastAsia" w:ascii="宋体" w:hAnsi="宋体" w:eastAsia="宋体" w:cs="宋体"/>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17" w:type="dxa"/>
            <w:vAlign w:val="center"/>
          </w:tcPr>
          <w:p>
            <w:pPr>
              <w:ind w:firstLine="28"/>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2369" w:type="dxa"/>
            <w:vMerge w:val="continue"/>
            <w:vAlign w:val="center"/>
          </w:tcPr>
          <w:p>
            <w:pPr>
              <w:spacing w:line="240" w:lineRule="auto"/>
              <w:jc w:val="center"/>
              <w:textAlignment w:val="baseline"/>
              <w:rPr>
                <w:rFonts w:hint="default" w:ascii="宋体" w:hAnsi="宋体" w:eastAsia="宋体" w:cs="宋体"/>
                <w:color w:val="auto"/>
                <w:kern w:val="0"/>
                <w:sz w:val="24"/>
                <w:szCs w:val="24"/>
                <w:highlight w:val="none"/>
                <w:lang w:val="en-US" w:eastAsia="zh-CN"/>
              </w:rPr>
            </w:pPr>
          </w:p>
        </w:tc>
        <w:tc>
          <w:tcPr>
            <w:tcW w:w="695" w:type="dxa"/>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5036" w:type="dxa"/>
            <w:vAlign w:val="center"/>
          </w:tcPr>
          <w:p>
            <w:pPr>
              <w:spacing w:line="240" w:lineRule="auto"/>
              <w:textAlignment w:val="baseline"/>
              <w:rPr>
                <w:rFonts w:hint="default" w:ascii="宋体" w:hAnsi="宋体" w:eastAsia="宋体" w:cs="宋体"/>
                <w:color w:val="auto"/>
                <w:kern w:val="0"/>
                <w:sz w:val="24"/>
                <w:szCs w:val="24"/>
                <w:highlight w:val="none"/>
                <w:lang w:val="en-US" w:eastAsia="zh-CN"/>
              </w:rPr>
            </w:pPr>
            <w:r>
              <w:rPr>
                <w:rFonts w:hint="eastAsia" w:ascii="宋体" w:hAnsi="宋体"/>
                <w:color w:val="000000"/>
                <w:sz w:val="24"/>
                <w:highlight w:val="none"/>
              </w:rPr>
              <w:t>项目组成员（</w:t>
            </w:r>
            <w:r>
              <w:rPr>
                <w:rFonts w:hint="eastAsia" w:ascii="宋体" w:hAnsi="宋体"/>
                <w:color w:val="000000"/>
                <w:sz w:val="24"/>
                <w:highlight w:val="none"/>
                <w:lang w:val="en-US" w:eastAsia="zh-CN"/>
              </w:rPr>
              <w:t>项目</w:t>
            </w:r>
            <w:r>
              <w:rPr>
                <w:rFonts w:hint="eastAsia" w:ascii="宋体" w:hAnsi="宋体"/>
                <w:color w:val="000000"/>
                <w:sz w:val="24"/>
                <w:highlight w:val="none"/>
              </w:rPr>
              <w:t>负责人除外）</w:t>
            </w:r>
            <w:r>
              <w:rPr>
                <w:rFonts w:hint="eastAsia" w:ascii="宋体" w:hAnsi="宋体" w:eastAsia="宋体" w:cs="宋体"/>
                <w:b w:val="0"/>
                <w:bCs/>
                <w:color w:val="auto"/>
                <w:kern w:val="0"/>
                <w:sz w:val="24"/>
                <w:szCs w:val="24"/>
                <w:highlight w:val="none"/>
                <w:lang w:val="en-US" w:eastAsia="zh-CN"/>
              </w:rPr>
              <w:t>具有建设工程类中级及以上工程师职称的得2分，</w:t>
            </w:r>
            <w:r>
              <w:rPr>
                <w:rFonts w:hint="eastAsia" w:ascii="宋体" w:hAnsi="宋体"/>
                <w:color w:val="000000"/>
                <w:sz w:val="24"/>
                <w:highlight w:val="none"/>
              </w:rPr>
              <w:t>本项最高得</w:t>
            </w:r>
            <w:r>
              <w:rPr>
                <w:rFonts w:hint="eastAsia" w:ascii="宋体" w:hAnsi="宋体"/>
                <w:color w:val="000000"/>
                <w:sz w:val="24"/>
                <w:highlight w:val="none"/>
                <w:lang w:val="en-US" w:eastAsia="zh-CN"/>
              </w:rPr>
              <w:t>2</w:t>
            </w:r>
            <w:r>
              <w:rPr>
                <w:rFonts w:hint="eastAsia" w:ascii="宋体" w:hAnsi="宋体"/>
                <w:color w:val="000000"/>
                <w:sz w:val="24"/>
                <w:highlight w:val="none"/>
              </w:rPr>
              <w:t>分。</w:t>
            </w:r>
          </w:p>
        </w:tc>
        <w:tc>
          <w:tcPr>
            <w:tcW w:w="1787" w:type="dxa"/>
            <w:vMerge w:val="continue"/>
            <w:vAlign w:val="center"/>
          </w:tcPr>
          <w:p>
            <w:pPr>
              <w:rPr>
                <w:rFonts w:hint="eastAsia" w:ascii="宋体" w:hAnsi="宋体" w:eastAsia="宋体" w:cs="宋体"/>
                <w:color w:val="auto"/>
                <w:kern w:val="0"/>
                <w:sz w:val="24"/>
                <w:szCs w:val="24"/>
                <w:highlight w:val="none"/>
                <w:lang w:val="en-US" w:eastAsia="zh-CN"/>
              </w:rPr>
            </w:pPr>
          </w:p>
        </w:tc>
        <w:tc>
          <w:tcPr>
            <w:tcW w:w="1787" w:type="dxa"/>
            <w:vAlign w:val="center"/>
          </w:tcPr>
          <w:p>
            <w:pPr>
              <w:rPr>
                <w:rFonts w:hint="eastAsia" w:ascii="宋体" w:hAnsi="宋体" w:eastAsia="宋体" w:cs="宋体"/>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817" w:type="dxa"/>
            <w:vAlign w:val="center"/>
          </w:tcPr>
          <w:p>
            <w:pPr>
              <w:ind w:firstLine="28"/>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2369" w:type="dxa"/>
            <w:vMerge w:val="restart"/>
            <w:vAlign w:val="center"/>
          </w:tcPr>
          <w:p>
            <w:pPr>
              <w:spacing w:line="240" w:lineRule="auto"/>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w:t>
            </w:r>
          </w:p>
        </w:tc>
        <w:tc>
          <w:tcPr>
            <w:tcW w:w="695" w:type="dxa"/>
            <w:vAlign w:val="center"/>
          </w:tcPr>
          <w:p>
            <w:pPr>
              <w:ind w:firstLine="28" w:firstLineChars="0"/>
              <w:jc w:val="center"/>
              <w:rPr>
                <w:rFonts w:hint="default" w:ascii="宋体" w:hAnsi="宋体" w:eastAsia="宋体" w:cs="宋体"/>
                <w:color w:val="auto"/>
                <w:kern w:val="0"/>
                <w:sz w:val="24"/>
                <w:szCs w:val="24"/>
                <w:highlight w:val="none"/>
                <w:lang w:val="en-US" w:eastAsia="zh-CN"/>
              </w:rPr>
            </w:pPr>
            <w:r>
              <w:rPr>
                <w:rFonts w:hint="eastAsia" w:ascii="宋体" w:hAnsi="宋体"/>
                <w:color w:val="000000"/>
                <w:sz w:val="24"/>
                <w:highlight w:val="none"/>
                <w:lang w:val="en-US" w:eastAsia="zh-CN"/>
              </w:rPr>
              <w:t>6</w:t>
            </w:r>
          </w:p>
        </w:tc>
        <w:tc>
          <w:tcPr>
            <w:tcW w:w="5036" w:type="dxa"/>
            <w:vAlign w:val="center"/>
          </w:tcPr>
          <w:p>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rPr>
              <w:t>自202</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1日</w:t>
            </w:r>
            <w:r>
              <w:rPr>
                <w:rFonts w:hint="eastAsia" w:ascii="宋体" w:hAnsi="宋体" w:eastAsia="宋体" w:cs="宋体"/>
                <w:b w:val="0"/>
                <w:bCs/>
                <w:color w:val="auto"/>
                <w:sz w:val="24"/>
                <w:szCs w:val="24"/>
                <w:highlight w:val="none"/>
              </w:rPr>
              <w:t>以来承担过类似项目</w:t>
            </w:r>
            <w:r>
              <w:rPr>
                <w:rFonts w:hint="eastAsia" w:ascii="宋体" w:hAnsi="宋体" w:eastAsia="宋体" w:cs="宋体"/>
                <w:b w:val="0"/>
                <w:bCs/>
                <w:color w:val="auto"/>
                <w:sz w:val="24"/>
                <w:szCs w:val="24"/>
                <w:highlight w:val="none"/>
                <w:lang w:val="en-US" w:eastAsia="zh-CN"/>
              </w:rPr>
              <w:t>的项目负责人的（</w:t>
            </w:r>
            <w:r>
              <w:rPr>
                <w:rFonts w:hint="eastAsia" w:ascii="宋体" w:hAnsi="宋体" w:eastAsia="宋体" w:cs="宋体"/>
                <w:color w:val="000000"/>
                <w:sz w:val="24"/>
                <w:szCs w:val="24"/>
                <w:highlight w:val="none"/>
                <w:lang w:val="en-US" w:eastAsia="zh-CN"/>
              </w:rPr>
              <w:t>项目负责人须在合同或中标通知书中体现</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，有一项得</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本项</w:t>
            </w:r>
            <w:r>
              <w:rPr>
                <w:rFonts w:hint="eastAsia" w:ascii="宋体" w:hAnsi="宋体" w:eastAsia="宋体" w:cs="宋体"/>
                <w:b w:val="0"/>
                <w:bCs/>
                <w:color w:val="auto"/>
                <w:sz w:val="24"/>
                <w:szCs w:val="24"/>
                <w:highlight w:val="none"/>
              </w:rPr>
              <w:t>最高得</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tc>
        <w:tc>
          <w:tcPr>
            <w:tcW w:w="1787" w:type="dxa"/>
            <w:vMerge w:val="restart"/>
            <w:vAlign w:val="center"/>
          </w:tcPr>
          <w:p>
            <w:pPr>
              <w:widowControl/>
              <w:rPr>
                <w:rFonts w:hint="eastAsia" w:ascii="宋体" w:hAnsi="宋体" w:cs="宋体"/>
                <w:b w:val="0"/>
                <w:bCs/>
                <w:color w:val="auto"/>
                <w:sz w:val="24"/>
                <w:szCs w:val="24"/>
                <w:highlight w:val="none"/>
              </w:rPr>
            </w:pPr>
            <w:r>
              <w:rPr>
                <w:rFonts w:hint="eastAsia" w:ascii="宋体" w:hAnsi="宋体" w:eastAsia="宋体" w:cs="宋体"/>
                <w:b w:val="0"/>
                <w:bCs/>
                <w:color w:val="auto"/>
                <w:sz w:val="24"/>
                <w:szCs w:val="24"/>
                <w:highlight w:val="none"/>
              </w:rPr>
              <w:t>时间以合同签订时间为准，提供中标通知书、合同、竣工验收证明</w:t>
            </w:r>
            <w:r>
              <w:rPr>
                <w:rFonts w:hint="eastAsia" w:ascii="宋体" w:hAnsi="宋体" w:eastAsia="宋体" w:cs="宋体"/>
                <w:b w:val="0"/>
                <w:bCs/>
                <w:color w:val="auto"/>
                <w:sz w:val="24"/>
                <w:szCs w:val="24"/>
                <w:highlight w:val="none"/>
                <w:lang w:val="en-US" w:eastAsia="zh-CN"/>
              </w:rPr>
              <w:t>复印件并加盖供应商公章</w:t>
            </w:r>
            <w:r>
              <w:rPr>
                <w:rFonts w:hint="eastAsia" w:ascii="宋体" w:hAnsi="宋体" w:eastAsia="宋体" w:cs="宋体"/>
                <w:b w:val="0"/>
                <w:bCs/>
                <w:color w:val="auto"/>
                <w:sz w:val="24"/>
                <w:szCs w:val="24"/>
                <w:highlight w:val="none"/>
                <w:lang w:eastAsia="zh-CN"/>
              </w:rPr>
              <w:t>。</w:t>
            </w:r>
          </w:p>
        </w:tc>
        <w:tc>
          <w:tcPr>
            <w:tcW w:w="1787" w:type="dxa"/>
            <w:vAlign w:val="center"/>
          </w:tcPr>
          <w:p>
            <w:pPr>
              <w:widowControl/>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17" w:type="dxa"/>
            <w:vAlign w:val="center"/>
          </w:tcPr>
          <w:p>
            <w:pPr>
              <w:ind w:firstLine="28"/>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3.4</w:t>
            </w:r>
          </w:p>
        </w:tc>
        <w:tc>
          <w:tcPr>
            <w:tcW w:w="2369" w:type="dxa"/>
            <w:vMerge w:val="continue"/>
            <w:vAlign w:val="center"/>
          </w:tcPr>
          <w:p>
            <w:pPr>
              <w:spacing w:line="240" w:lineRule="auto"/>
              <w:jc w:val="center"/>
              <w:textAlignment w:val="baseline"/>
              <w:rPr>
                <w:rFonts w:hint="eastAsia" w:ascii="宋体" w:hAnsi="宋体" w:eastAsia="宋体" w:cs="宋体"/>
                <w:color w:val="auto"/>
                <w:kern w:val="0"/>
                <w:sz w:val="24"/>
                <w:szCs w:val="24"/>
                <w:highlight w:val="none"/>
                <w:lang w:val="en-US" w:eastAsia="zh-CN"/>
              </w:rPr>
            </w:pPr>
          </w:p>
        </w:tc>
        <w:tc>
          <w:tcPr>
            <w:tcW w:w="695" w:type="dxa"/>
            <w:vAlign w:val="center"/>
          </w:tcPr>
          <w:p>
            <w:pPr>
              <w:ind w:firstLine="28" w:firstLineChars="0"/>
              <w:jc w:val="center"/>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6</w:t>
            </w:r>
          </w:p>
        </w:tc>
        <w:tc>
          <w:tcPr>
            <w:tcW w:w="5036" w:type="dxa"/>
            <w:vAlign w:val="center"/>
          </w:tcPr>
          <w:p>
            <w:pPr>
              <w:spacing w:line="3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自202</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1日</w:t>
            </w:r>
            <w:r>
              <w:rPr>
                <w:rFonts w:hint="eastAsia" w:ascii="宋体" w:hAnsi="宋体" w:eastAsia="宋体" w:cs="宋体"/>
                <w:b w:val="0"/>
                <w:bCs/>
                <w:color w:val="auto"/>
                <w:sz w:val="24"/>
                <w:szCs w:val="24"/>
                <w:highlight w:val="none"/>
              </w:rPr>
              <w:t>以来承担过类似项目</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，有一项得</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本项</w:t>
            </w:r>
            <w:r>
              <w:rPr>
                <w:rFonts w:hint="eastAsia" w:ascii="宋体" w:hAnsi="宋体" w:eastAsia="宋体" w:cs="宋体"/>
                <w:b w:val="0"/>
                <w:bCs/>
                <w:color w:val="auto"/>
                <w:sz w:val="24"/>
                <w:szCs w:val="24"/>
                <w:highlight w:val="none"/>
              </w:rPr>
              <w:t>最高得</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tc>
        <w:tc>
          <w:tcPr>
            <w:tcW w:w="1787" w:type="dxa"/>
            <w:vMerge w:val="continue"/>
            <w:vAlign w:val="center"/>
          </w:tcPr>
          <w:p>
            <w:pPr>
              <w:widowControl/>
              <w:rPr>
                <w:rFonts w:hint="eastAsia" w:ascii="宋体" w:hAnsi="宋体" w:eastAsia="宋体" w:cs="宋体"/>
                <w:b w:val="0"/>
                <w:bCs/>
                <w:color w:val="auto"/>
                <w:sz w:val="24"/>
                <w:szCs w:val="24"/>
                <w:highlight w:val="none"/>
              </w:rPr>
            </w:pPr>
          </w:p>
        </w:tc>
        <w:tc>
          <w:tcPr>
            <w:tcW w:w="1787" w:type="dxa"/>
            <w:vAlign w:val="center"/>
          </w:tcPr>
          <w:p>
            <w:pPr>
              <w:widowControl/>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17" w:type="dxa"/>
            <w:vAlign w:val="center"/>
          </w:tcPr>
          <w:p>
            <w:pPr>
              <w:ind w:firstLine="28"/>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5</w:t>
            </w:r>
          </w:p>
        </w:tc>
        <w:tc>
          <w:tcPr>
            <w:tcW w:w="2369" w:type="dxa"/>
            <w:vAlign w:val="center"/>
          </w:tcPr>
          <w:p>
            <w:pPr>
              <w:spacing w:line="240" w:lineRule="auto"/>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体系认证</w:t>
            </w:r>
          </w:p>
        </w:tc>
        <w:tc>
          <w:tcPr>
            <w:tcW w:w="695" w:type="dxa"/>
            <w:vAlign w:val="center"/>
          </w:tcPr>
          <w:p>
            <w:pPr>
              <w:spacing w:line="240" w:lineRule="auto"/>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5036" w:type="dxa"/>
            <w:vAlign w:val="center"/>
          </w:tcPr>
          <w:p>
            <w:pPr>
              <w:spacing w:line="240" w:lineRule="auto"/>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供应商具有有效的质量管理体系认证、环境管理体系认证、职业健康安全管理体系认证，有一项得3分，</w:t>
            </w:r>
            <w:r>
              <w:rPr>
                <w:rFonts w:hint="eastAsia" w:ascii="宋体" w:hAnsi="宋体" w:cs="宋体"/>
                <w:color w:val="auto"/>
                <w:kern w:val="0"/>
                <w:sz w:val="24"/>
                <w:szCs w:val="24"/>
                <w:highlight w:val="none"/>
                <w:lang w:val="en-US" w:eastAsia="zh-CN"/>
              </w:rPr>
              <w:t>本项</w:t>
            </w:r>
            <w:r>
              <w:rPr>
                <w:rFonts w:hint="eastAsia" w:ascii="宋体" w:hAnsi="宋体" w:eastAsia="宋体" w:cs="宋体"/>
                <w:color w:val="auto"/>
                <w:kern w:val="0"/>
                <w:sz w:val="24"/>
                <w:szCs w:val="24"/>
                <w:highlight w:val="none"/>
                <w:lang w:val="en-US" w:eastAsia="zh-CN"/>
              </w:rPr>
              <w:t>最高得9分。</w:t>
            </w:r>
          </w:p>
        </w:tc>
        <w:tc>
          <w:tcPr>
            <w:tcW w:w="1787" w:type="dxa"/>
            <w:vAlign w:val="center"/>
          </w:tcPr>
          <w:p>
            <w:pPr>
              <w:widowControl/>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提供有效证书</w:t>
            </w:r>
            <w:r>
              <w:rPr>
                <w:rFonts w:hint="eastAsia" w:ascii="宋体" w:hAnsi="宋体" w:cs="宋体"/>
                <w:color w:val="auto"/>
                <w:kern w:val="0"/>
                <w:sz w:val="24"/>
                <w:szCs w:val="24"/>
                <w:highlight w:val="none"/>
                <w:lang w:val="en-US" w:eastAsia="zh-CN"/>
              </w:rPr>
              <w:t>并加盖供应商公章</w:t>
            </w:r>
            <w:r>
              <w:rPr>
                <w:rFonts w:hint="eastAsia" w:ascii="宋体" w:hAnsi="宋体" w:eastAsia="宋体" w:cs="宋体"/>
                <w:color w:val="auto"/>
                <w:kern w:val="0"/>
                <w:sz w:val="24"/>
                <w:szCs w:val="24"/>
                <w:highlight w:val="none"/>
                <w:lang w:val="en-US" w:eastAsia="zh-CN"/>
              </w:rPr>
              <w:t>。</w:t>
            </w:r>
          </w:p>
        </w:tc>
        <w:tc>
          <w:tcPr>
            <w:tcW w:w="1787" w:type="dxa"/>
            <w:vAlign w:val="center"/>
          </w:tcPr>
          <w:p>
            <w:pPr>
              <w:widowControl/>
              <w:rPr>
                <w:rFonts w:hint="eastAsia" w:ascii="宋体" w:hAnsi="宋体" w:eastAsia="宋体" w:cs="宋体"/>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186" w:type="dxa"/>
            <w:gridSpan w:val="2"/>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695" w:type="dxa"/>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6823" w:type="dxa"/>
            <w:gridSpan w:val="2"/>
            <w:vAlign w:val="center"/>
          </w:tcPr>
          <w:p>
            <w:pPr>
              <w:rPr>
                <w:rFonts w:hint="eastAsia" w:ascii="宋体" w:hAnsi="宋体" w:eastAsia="宋体" w:cs="宋体"/>
                <w:sz w:val="24"/>
                <w:szCs w:val="24"/>
                <w:highlight w:val="none"/>
              </w:rPr>
            </w:pPr>
          </w:p>
        </w:tc>
        <w:tc>
          <w:tcPr>
            <w:tcW w:w="1787" w:type="dxa"/>
            <w:vAlign w:val="center"/>
          </w:tcPr>
          <w:p>
            <w:pPr>
              <w:rPr>
                <w:rFonts w:hint="eastAsia" w:ascii="宋体" w:hAnsi="宋体" w:eastAsia="宋体" w:cs="宋体"/>
                <w:sz w:val="24"/>
                <w:szCs w:val="24"/>
                <w:highlight w:val="none"/>
              </w:rPr>
            </w:pPr>
          </w:p>
        </w:tc>
      </w:tr>
    </w:tbl>
    <w:p>
      <w:pPr>
        <w:pStyle w:val="19"/>
        <w:spacing w:before="10"/>
        <w:rPr>
          <w:highlight w:val="none"/>
        </w:rPr>
      </w:pPr>
    </w:p>
    <w:p>
      <w:pPr>
        <w:pStyle w:val="19"/>
        <w:spacing w:before="10"/>
        <w:rPr>
          <w:b/>
          <w:bCs/>
          <w:highlight w:val="none"/>
        </w:rPr>
      </w:pPr>
      <w:r>
        <w:rPr>
          <w:b/>
          <w:bCs/>
          <w:highlight w:val="none"/>
        </w:rPr>
        <w:t>注：</w:t>
      </w:r>
      <w:bookmarkStart w:id="682" w:name="_Hlk65585064"/>
    </w:p>
    <w:p>
      <w:pPr>
        <w:pStyle w:val="19"/>
        <w:spacing w:before="10"/>
        <w:ind w:firstLine="482" w:firstLineChars="200"/>
        <w:rPr>
          <w:b/>
          <w:color w:val="000000"/>
          <w:highlight w:val="none"/>
        </w:rPr>
      </w:pPr>
      <w:r>
        <w:rPr>
          <w:rFonts w:hint="eastAsia"/>
          <w:b/>
          <w:color w:val="000000"/>
          <w:highlight w:val="none"/>
        </w:rPr>
        <w:t>1、评分标准中要求提供的证明文件及资料等应在响应文件中提供复印件并加盖供应商公章，作为响应文件的一部分。</w:t>
      </w:r>
    </w:p>
    <w:p>
      <w:pPr>
        <w:adjustRightInd w:val="0"/>
        <w:snapToGrid w:val="0"/>
        <w:spacing w:line="380" w:lineRule="exact"/>
        <w:ind w:firstLine="472" w:firstLineChars="196"/>
        <w:contextualSpacing/>
        <w:rPr>
          <w:rFonts w:ascii="宋体" w:hAnsi="宋体"/>
          <w:b/>
          <w:color w:val="000000"/>
          <w:sz w:val="24"/>
          <w:highlight w:val="none"/>
        </w:rPr>
      </w:pPr>
      <w:r>
        <w:rPr>
          <w:rFonts w:hint="eastAsia" w:ascii="宋体" w:hAnsi="宋体"/>
          <w:b/>
          <w:color w:val="000000"/>
          <w:sz w:val="24"/>
          <w:highlight w:val="none"/>
        </w:rPr>
        <w:t>2、评标时，未能按以上要求提供相应证明材料复印件的或复印件未加盖供应商公章的或未编入响应文件的，不作为评标依据，均不得分。</w:t>
      </w:r>
    </w:p>
    <w:p>
      <w:pPr>
        <w:adjustRightInd w:val="0"/>
        <w:snapToGrid w:val="0"/>
        <w:spacing w:line="380" w:lineRule="exact"/>
        <w:ind w:firstLine="472" w:firstLineChars="196"/>
        <w:contextualSpacing/>
        <w:rPr>
          <w:rFonts w:ascii="宋体" w:hAnsi="宋体"/>
          <w:b/>
          <w:color w:val="000000"/>
          <w:sz w:val="24"/>
          <w:highlight w:val="none"/>
        </w:rPr>
      </w:pPr>
      <w:r>
        <w:rPr>
          <w:rFonts w:ascii="宋体" w:hAnsi="宋体"/>
          <w:b/>
          <w:color w:val="000000"/>
          <w:sz w:val="24"/>
          <w:highlight w:val="none"/>
        </w:rPr>
        <w:t>3</w:t>
      </w:r>
      <w:r>
        <w:rPr>
          <w:rFonts w:hint="eastAsia" w:ascii="宋体" w:hAnsi="宋体"/>
          <w:b/>
          <w:color w:val="000000"/>
          <w:sz w:val="24"/>
          <w:highlight w:val="none"/>
        </w:rPr>
        <w:t>、</w:t>
      </w:r>
      <w:r>
        <w:rPr>
          <w:rFonts w:ascii="宋体" w:hAnsi="宋体"/>
          <w:b/>
          <w:color w:val="000000"/>
          <w:sz w:val="24"/>
          <w:highlight w:val="none"/>
        </w:rPr>
        <w:t>响应文件递交截止时间之</w:t>
      </w:r>
      <w:r>
        <w:rPr>
          <w:rFonts w:hint="eastAsia" w:ascii="宋体" w:hAnsi="宋体"/>
          <w:b/>
          <w:color w:val="000000"/>
          <w:sz w:val="24"/>
          <w:highlight w:val="none"/>
        </w:rPr>
        <w:t>后不再接受供应商提供的任何补充材料。</w:t>
      </w:r>
      <w:bookmarkEnd w:id="682"/>
    </w:p>
    <w:p>
      <w:pPr>
        <w:numPr>
          <w:ilvl w:val="0"/>
          <w:numId w:val="16"/>
        </w:numPr>
        <w:jc w:val="center"/>
        <w:rPr>
          <w:b/>
          <w:sz w:val="36"/>
          <w:szCs w:val="36"/>
          <w:highlight w:val="none"/>
        </w:rPr>
      </w:pPr>
      <w:r>
        <w:rPr>
          <w:b/>
          <w:sz w:val="36"/>
          <w:szCs w:val="36"/>
          <w:highlight w:val="none"/>
        </w:rPr>
        <w:br w:type="page"/>
      </w:r>
      <w:r>
        <w:rPr>
          <w:b/>
          <w:sz w:val="36"/>
          <w:szCs w:val="36"/>
          <w:highlight w:val="none"/>
        </w:rPr>
        <w:t>采购需求</w:t>
      </w:r>
      <w:bookmarkEnd w:id="681"/>
      <w:bookmarkStart w:id="683" w:name="_Toc104818929"/>
    </w:p>
    <w:p>
      <w:pPr>
        <w:rPr>
          <w:rFonts w:hint="eastAsia" w:ascii="宋体" w:hAnsi="宋体" w:eastAsia="宋体" w:cs="宋体"/>
          <w:sz w:val="21"/>
          <w:szCs w:val="21"/>
          <w:lang w:val="en-US"/>
        </w:rPr>
      </w:pPr>
    </w:p>
    <w:p>
      <w:pPr>
        <w:pStyle w:val="19"/>
        <w:spacing w:before="0" w:line="360" w:lineRule="auto"/>
        <w:rPr>
          <w:b/>
          <w:bCs/>
          <w:highlight w:val="none"/>
        </w:rPr>
      </w:pPr>
      <w:bookmarkStart w:id="684" w:name="_Toc101443054"/>
      <w:r>
        <w:rPr>
          <w:b/>
          <w:bCs/>
          <w:highlight w:val="none"/>
        </w:rPr>
        <w:t>一</w:t>
      </w:r>
      <w:r>
        <w:rPr>
          <w:rFonts w:hint="eastAsia"/>
          <w:b/>
          <w:bCs/>
          <w:highlight w:val="none"/>
        </w:rPr>
        <w:t>、项目总体概况</w:t>
      </w:r>
    </w:p>
    <w:p>
      <w:pPr>
        <w:pStyle w:val="19"/>
        <w:spacing w:before="0" w:line="360" w:lineRule="auto"/>
        <w:ind w:firstLine="420"/>
        <w:rPr>
          <w:highlight w:val="none"/>
        </w:rPr>
      </w:pPr>
      <w:r>
        <w:rPr>
          <w:rFonts w:hint="eastAsia"/>
          <w:highlight w:val="none"/>
        </w:rPr>
        <w:t>1、采购内容：本项目为</w:t>
      </w:r>
      <w:r>
        <w:rPr>
          <w:rFonts w:hint="eastAsia"/>
          <w:highlight w:val="none"/>
          <w:lang w:eastAsia="zh-CN"/>
        </w:rPr>
        <w:t>西太湖文旅办公室硬装采购项目</w:t>
      </w:r>
      <w:r>
        <w:rPr>
          <w:rFonts w:hint="eastAsia"/>
          <w:highlight w:val="none"/>
        </w:rPr>
        <w:t>，具体内容详见工程量清单。</w:t>
      </w:r>
    </w:p>
    <w:p>
      <w:pPr>
        <w:pStyle w:val="19"/>
        <w:spacing w:before="0" w:line="360" w:lineRule="auto"/>
        <w:ind w:firstLine="420"/>
        <w:rPr>
          <w:rFonts w:hint="eastAsia"/>
          <w:color w:val="auto"/>
          <w:highlight w:val="none"/>
          <w:lang w:val="en-US" w:eastAsia="zh-CN"/>
        </w:rPr>
      </w:pPr>
      <w:r>
        <w:rPr>
          <w:highlight w:val="none"/>
        </w:rPr>
        <w:t>2</w:t>
      </w:r>
      <w:r>
        <w:rPr>
          <w:rFonts w:hint="eastAsia"/>
          <w:highlight w:val="none"/>
        </w:rPr>
        <w:t>、</w:t>
      </w:r>
      <w:r>
        <w:rPr>
          <w:rFonts w:hint="eastAsia"/>
          <w:color w:val="auto"/>
          <w:highlight w:val="none"/>
          <w:lang w:val="en-US" w:eastAsia="zh-CN"/>
        </w:rPr>
        <w:t>工期</w:t>
      </w:r>
      <w:r>
        <w:rPr>
          <w:rFonts w:hint="eastAsia"/>
          <w:color w:val="auto"/>
          <w:highlight w:val="none"/>
        </w:rPr>
        <w:t>：</w:t>
      </w:r>
      <w:r>
        <w:rPr>
          <w:rFonts w:hint="eastAsia" w:ascii="宋体" w:hAnsi="宋体" w:eastAsia="宋体" w:cs="宋体"/>
          <w:snapToGrid w:val="0"/>
          <w:color w:val="000000"/>
          <w:kern w:val="0"/>
          <w:sz w:val="24"/>
          <w:szCs w:val="24"/>
          <w:lang w:val="en-US" w:eastAsia="zh-CN" w:bidi="ar"/>
        </w:rPr>
        <w:t>自合同签订之日起</w:t>
      </w:r>
      <w:r>
        <w:rPr>
          <w:rFonts w:hint="eastAsia" w:cs="宋体"/>
          <w:snapToGrid w:val="0"/>
          <w:color w:val="000000"/>
          <w:kern w:val="0"/>
          <w:sz w:val="24"/>
          <w:szCs w:val="24"/>
          <w:lang w:val="en-US" w:eastAsia="zh-CN" w:bidi="ar"/>
        </w:rPr>
        <w:t>30</w:t>
      </w:r>
      <w:r>
        <w:rPr>
          <w:rFonts w:hint="eastAsia" w:ascii="宋体" w:hAnsi="宋体" w:eastAsia="宋体" w:cs="宋体"/>
          <w:snapToGrid w:val="0"/>
          <w:color w:val="000000"/>
          <w:kern w:val="0"/>
          <w:sz w:val="24"/>
          <w:szCs w:val="24"/>
          <w:lang w:val="en-US" w:eastAsia="zh-CN" w:bidi="ar"/>
        </w:rPr>
        <w:t>个日历</w:t>
      </w:r>
      <w:r>
        <w:rPr>
          <w:rFonts w:hint="eastAsia" w:cs="宋体"/>
          <w:snapToGrid w:val="0"/>
          <w:color w:val="000000"/>
          <w:kern w:val="0"/>
          <w:sz w:val="24"/>
          <w:szCs w:val="24"/>
          <w:lang w:val="en-US" w:eastAsia="zh-CN" w:bidi="ar"/>
        </w:rPr>
        <w:t>天</w:t>
      </w:r>
      <w:r>
        <w:rPr>
          <w:rFonts w:hint="eastAsia" w:ascii="宋体" w:hAnsi="宋体" w:eastAsia="宋体" w:cs="宋体"/>
          <w:snapToGrid w:val="0"/>
          <w:color w:val="000000"/>
          <w:kern w:val="0"/>
          <w:sz w:val="24"/>
          <w:szCs w:val="24"/>
          <w:lang w:val="en-US" w:eastAsia="zh-CN" w:bidi="ar"/>
        </w:rPr>
        <w:t>，同时施工工期必须严格服从采购单位的安排，满足工程进度的要求。</w:t>
      </w:r>
    </w:p>
    <w:p>
      <w:pPr>
        <w:pStyle w:val="19"/>
        <w:spacing w:before="0" w:line="360" w:lineRule="auto"/>
        <w:ind w:firstLine="420"/>
        <w:rPr>
          <w:highlight w:val="none"/>
        </w:rPr>
      </w:pPr>
      <w:r>
        <w:rPr>
          <w:rFonts w:hint="eastAsia"/>
          <w:highlight w:val="none"/>
        </w:rPr>
        <w:t>3、质量要求：合格</w:t>
      </w:r>
    </w:p>
    <w:p>
      <w:pPr>
        <w:pStyle w:val="19"/>
        <w:spacing w:before="0" w:line="360" w:lineRule="auto"/>
        <w:ind w:firstLine="420"/>
        <w:rPr>
          <w:highlight w:val="none"/>
        </w:rPr>
      </w:pPr>
      <w:r>
        <w:rPr>
          <w:highlight w:val="none"/>
        </w:rPr>
        <w:t>4</w:t>
      </w:r>
      <w:r>
        <w:rPr>
          <w:rFonts w:hint="eastAsia"/>
          <w:highlight w:val="none"/>
        </w:rPr>
        <w:t>、</w:t>
      </w:r>
      <w:r>
        <w:rPr>
          <w:highlight w:val="none"/>
        </w:rPr>
        <w:t>质保期</w:t>
      </w:r>
      <w:r>
        <w:rPr>
          <w:rFonts w:hint="eastAsia"/>
          <w:highlight w:val="none"/>
        </w:rPr>
        <w:t>：</w:t>
      </w:r>
      <w:r>
        <w:rPr>
          <w:rFonts w:hint="eastAsia"/>
          <w:highlight w:val="none"/>
          <w:lang w:val="en-US" w:eastAsia="zh-CN"/>
        </w:rPr>
        <w:t>贰年</w:t>
      </w:r>
      <w:r>
        <w:rPr>
          <w:rFonts w:hint="eastAsia"/>
          <w:highlight w:val="none"/>
        </w:rPr>
        <w:t>，免费质保期自验收合格之日起计算。</w:t>
      </w:r>
    </w:p>
    <w:p>
      <w:pPr>
        <w:pStyle w:val="19"/>
        <w:spacing w:before="0" w:line="360" w:lineRule="auto"/>
        <w:rPr>
          <w:highlight w:val="none"/>
        </w:rPr>
      </w:pPr>
      <w:r>
        <w:rPr>
          <w:rFonts w:hint="eastAsia"/>
          <w:b/>
          <w:bCs/>
          <w:highlight w:val="none"/>
        </w:rPr>
        <w:t>二、工程量清单</w:t>
      </w:r>
    </w:p>
    <w:tbl>
      <w:tblPr>
        <w:tblStyle w:val="5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664"/>
        <w:gridCol w:w="696"/>
        <w:gridCol w:w="936"/>
        <w:gridCol w:w="936"/>
        <w:gridCol w:w="942"/>
        <w:gridCol w:w="3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碳晶板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先，进行碳晶板的安装之前，需要做好相关的准备工作。包括清理墙面和地面，检查和修补不平的表面，进行基础材料的防水处理等。在进行碳晶板的安装之前，需要将板材进行测量，并根据测量结果进行切割。需要注意的是，碳晶板的切割必须使用特殊的切割工具，并采取正确的操作方法，以避免板材破裂。在碳晶板进行切割后，进行安装。首先将胶水均匀涂在墙面和地面上，然后将碳晶板按照顺序放置在粘合面上，并用专用工具压平、挤压，以确保板材和基材之间的粘合牢固。在安装时，需要注意间隔和花样的搭配，以达到最佳的装修效果。在碳晶板安装完成之后，需要进行收尾工作。包括填缝、油漆等处理，以去除不规则的部分，达到完善且漂亮的装饰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玻璃隔断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9744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钢化磨砂玻璃8mm，甲级防火标准，隔音12db-52db。 步骤一：弹线定位。根据隔墙安装定位控制线，先在地面弹出隔墙的位置线，再用垂直线法在墙、柱上弹出位置及高度线和沿顶位置线，有框玻璃隔断标出竖框间隔和固定点位置。 步骤二：框材下料。有框玻璃隔断墙型材下料时，应先复核现场实际尺寸，有水平横挡时，每个竖况均以底边为准，在竖框上划出横档位置线和连接部位的安装尺寸线，以保证连接件安装位置准确和横挡在同一水平线上。下料应使用专用工具(型材切割机)，保证切口光滑、整齐。 步骤三：安装框架、边框。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带框玻璃门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零星维修</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增加光源，矿棉板，开关插座,空调维修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墙体饰面拆除+垃圾清运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柜体制作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实木多层柜体，灯带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165809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管理费(5%)：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8290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税点（3%）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4974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179074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bl>
    <w:p>
      <w:pPr>
        <w:pStyle w:val="19"/>
        <w:spacing w:before="0" w:line="360" w:lineRule="auto"/>
        <w:rPr>
          <w:b/>
          <w:bCs/>
          <w:highlight w:val="yellow"/>
        </w:rPr>
      </w:pPr>
      <w:r>
        <w:rPr>
          <w:rFonts w:hint="eastAsia"/>
          <w:b/>
          <w:bCs/>
          <w:highlight w:val="yellow"/>
        </w:rPr>
        <w:t>三、付款方式</w:t>
      </w:r>
    </w:p>
    <w:p>
      <w:pPr>
        <w:pStyle w:val="19"/>
        <w:spacing w:line="360" w:lineRule="auto"/>
        <w:ind w:firstLine="480" w:firstLineChars="200"/>
        <w:rPr>
          <w:rFonts w:hint="eastAsia" w:ascii="宋体" w:hAnsi="宋体" w:cs="宋体"/>
          <w:sz w:val="24"/>
          <w:highlight w:val="yellow"/>
        </w:rPr>
      </w:pPr>
      <w:r>
        <w:rPr>
          <w:rFonts w:hint="eastAsia" w:ascii="宋体" w:hAnsi="宋体" w:cs="宋体"/>
          <w:sz w:val="24"/>
          <w:highlight w:val="yellow"/>
        </w:rPr>
        <w:t>1、合同签订后进场施工前支付</w:t>
      </w:r>
      <w:r>
        <w:rPr>
          <w:rFonts w:hint="eastAsia" w:ascii="宋体" w:hAnsi="宋体" w:cs="宋体"/>
          <w:sz w:val="24"/>
          <w:highlight w:val="yellow"/>
          <w:lang w:val="en-US" w:eastAsia="zh-CN"/>
        </w:rPr>
        <w:t>至</w:t>
      </w:r>
      <w:r>
        <w:rPr>
          <w:rFonts w:hint="eastAsia" w:ascii="宋体" w:hAnsi="宋体" w:cs="宋体"/>
          <w:sz w:val="24"/>
          <w:highlight w:val="yellow"/>
        </w:rPr>
        <w:t>合同价的</w:t>
      </w:r>
      <w:r>
        <w:rPr>
          <w:rFonts w:hint="eastAsia" w:ascii="宋体" w:hAnsi="宋体" w:cs="宋体"/>
          <w:sz w:val="24"/>
          <w:highlight w:val="yellow"/>
          <w:lang w:val="en-US" w:eastAsia="zh-CN"/>
        </w:rPr>
        <w:t>30</w:t>
      </w:r>
      <w:r>
        <w:rPr>
          <w:rFonts w:hint="eastAsia" w:ascii="宋体" w:hAnsi="宋体" w:cs="宋体"/>
          <w:sz w:val="24"/>
          <w:highlight w:val="yellow"/>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yellow"/>
        </w:rPr>
      </w:pPr>
      <w:r>
        <w:rPr>
          <w:rFonts w:hint="eastAsia" w:ascii="宋体" w:hAnsi="宋体" w:eastAsia="宋体" w:cs="宋体"/>
          <w:snapToGrid w:val="0"/>
          <w:color w:val="000000"/>
          <w:kern w:val="0"/>
          <w:sz w:val="24"/>
          <w:szCs w:val="24"/>
          <w:highlight w:val="yellow"/>
          <w:lang w:val="en-US" w:eastAsia="zh-CN" w:bidi="ar"/>
        </w:rPr>
        <w:t>2、工程完工经验收合格后</w:t>
      </w:r>
      <w:r>
        <w:rPr>
          <w:rFonts w:hint="eastAsia" w:ascii="宋体" w:hAnsi="宋体" w:cs="宋体"/>
          <w:snapToGrid w:val="0"/>
          <w:color w:val="000000"/>
          <w:kern w:val="0"/>
          <w:sz w:val="24"/>
          <w:szCs w:val="24"/>
          <w:highlight w:val="yellow"/>
          <w:lang w:val="en-US" w:eastAsia="zh-CN" w:bidi="ar"/>
        </w:rPr>
        <w:t>支付至合同价的80%，</w:t>
      </w:r>
      <w:r>
        <w:rPr>
          <w:rFonts w:hint="eastAsia" w:ascii="宋体" w:hAnsi="宋体" w:eastAsia="宋体" w:cs="宋体"/>
          <w:snapToGrid w:val="0"/>
          <w:color w:val="000000"/>
          <w:kern w:val="0"/>
          <w:sz w:val="24"/>
          <w:szCs w:val="24"/>
          <w:highlight w:val="yellow"/>
          <w:lang w:val="en-US" w:eastAsia="zh-CN" w:bidi="ar"/>
        </w:rPr>
        <w:t xml:space="preserve">由审计单位进行工程审计。 </w:t>
      </w:r>
    </w:p>
    <w:p>
      <w:pPr>
        <w:widowControl/>
        <w:shd w:val="clear" w:color="auto" w:fill="FFFFFF"/>
        <w:spacing w:line="360" w:lineRule="auto"/>
        <w:ind w:firstLine="480"/>
        <w:rPr>
          <w:rFonts w:hint="eastAsia" w:ascii="宋体" w:hAnsi="宋体" w:eastAsia="宋体" w:cs="宋体"/>
          <w:color w:val="auto"/>
          <w:kern w:val="0"/>
          <w:sz w:val="24"/>
          <w:highlight w:val="yellow"/>
          <w:shd w:val="clear" w:color="auto" w:fill="FFFFFF"/>
          <w:lang w:bidi="ar"/>
        </w:rPr>
      </w:pPr>
      <w:r>
        <w:rPr>
          <w:rFonts w:hint="eastAsia" w:ascii="宋体" w:hAnsi="宋体" w:eastAsia="宋体" w:cs="宋体"/>
          <w:snapToGrid w:val="0"/>
          <w:color w:val="000000"/>
          <w:kern w:val="0"/>
          <w:sz w:val="24"/>
          <w:szCs w:val="24"/>
          <w:highlight w:val="yellow"/>
          <w:lang w:val="en-US" w:eastAsia="zh-CN" w:bidi="ar"/>
        </w:rPr>
        <w:t>3、</w:t>
      </w:r>
      <w:r>
        <w:rPr>
          <w:rFonts w:hint="eastAsia" w:ascii="宋体" w:hAnsi="宋体" w:eastAsia="宋体" w:cs="宋体"/>
          <w:color w:val="auto"/>
          <w:kern w:val="0"/>
          <w:sz w:val="24"/>
          <w:highlight w:val="yellow"/>
          <w:shd w:val="clear" w:color="auto" w:fill="FFFFFF"/>
          <w:lang w:bidi="ar"/>
        </w:rPr>
        <w:t>工程审计完成后付至审定价的97%，余款3%在2年质保期满后无息支付。</w:t>
      </w:r>
    </w:p>
    <w:p>
      <w:pPr>
        <w:widowControl/>
        <w:shd w:val="clear" w:color="auto" w:fill="FFFFFF"/>
        <w:spacing w:line="360" w:lineRule="auto"/>
        <w:ind w:firstLine="480"/>
        <w:rPr>
          <w:rFonts w:hint="eastAsia" w:ascii="宋体" w:hAnsi="宋体" w:eastAsia="宋体" w:cs="宋体"/>
          <w:color w:val="auto"/>
          <w:kern w:val="0"/>
          <w:sz w:val="24"/>
          <w:highlight w:val="yellow"/>
          <w:shd w:val="clear" w:color="auto" w:fill="FFFFFF"/>
          <w:lang w:bidi="ar"/>
        </w:rPr>
      </w:pPr>
      <w:r>
        <w:rPr>
          <w:rFonts w:hint="eastAsia" w:ascii="宋体" w:hAnsi="宋体" w:eastAsia="宋体" w:cs="宋体"/>
          <w:color w:val="auto"/>
          <w:kern w:val="0"/>
          <w:sz w:val="24"/>
          <w:highlight w:val="yellow"/>
          <w:shd w:val="clear" w:color="auto" w:fill="FFFFFF"/>
          <w:lang w:val="en-US" w:eastAsia="zh-CN" w:bidi="ar"/>
        </w:rPr>
        <w:t>4、</w:t>
      </w:r>
      <w:r>
        <w:rPr>
          <w:rFonts w:hint="eastAsia" w:ascii="宋体" w:hAnsi="宋体" w:eastAsia="宋体" w:cs="宋体"/>
          <w:color w:val="auto"/>
          <w:kern w:val="0"/>
          <w:sz w:val="24"/>
          <w:highlight w:val="yellow"/>
          <w:shd w:val="clear" w:color="auto" w:fill="FFFFFF"/>
          <w:lang w:bidi="ar"/>
        </w:rPr>
        <w:t>工程价款结算最终以造价咨询机构出具的审计报告为准。</w:t>
      </w:r>
    </w:p>
    <w:p>
      <w:pPr>
        <w:widowControl/>
        <w:shd w:val="clear" w:color="auto" w:fill="FFFFFF"/>
        <w:spacing w:line="360" w:lineRule="auto"/>
        <w:ind w:firstLine="480" w:firstLineChars="200"/>
        <w:rPr>
          <w:rFonts w:hint="eastAsia" w:ascii="宋体" w:hAnsi="宋体" w:eastAsia="宋体" w:cs="宋体"/>
          <w:color w:val="auto"/>
          <w:kern w:val="0"/>
          <w:sz w:val="24"/>
          <w:highlight w:val="yellow"/>
          <w:shd w:val="clear" w:color="auto" w:fill="FFFFFF"/>
          <w:lang w:bidi="ar"/>
        </w:rPr>
      </w:pPr>
      <w:r>
        <w:rPr>
          <w:rFonts w:hint="eastAsia" w:ascii="宋体" w:hAnsi="宋体" w:eastAsia="宋体" w:cs="宋体"/>
          <w:color w:val="auto"/>
          <w:kern w:val="0"/>
          <w:sz w:val="24"/>
          <w:highlight w:val="yellow"/>
          <w:shd w:val="clear" w:color="auto" w:fill="FFFFFF"/>
          <w:lang w:val="en-US" w:eastAsia="zh-CN" w:bidi="ar"/>
        </w:rPr>
        <w:t>5、</w:t>
      </w:r>
      <w:r>
        <w:rPr>
          <w:rFonts w:hint="eastAsia" w:ascii="宋体" w:hAnsi="宋体" w:eastAsia="宋体" w:cs="宋体"/>
          <w:color w:val="auto"/>
          <w:kern w:val="0"/>
          <w:sz w:val="24"/>
          <w:highlight w:val="yellow"/>
          <w:shd w:val="clear" w:color="auto" w:fill="FFFFFF"/>
          <w:lang w:bidi="ar"/>
        </w:rPr>
        <w:t>核减率小于6%，审计费由采购人承担，核减率大于等于6%，审计费全部由</w:t>
      </w:r>
      <w:r>
        <w:rPr>
          <w:rFonts w:hint="eastAsia" w:ascii="宋体" w:hAnsi="宋体" w:eastAsia="宋体" w:cs="宋体"/>
          <w:color w:val="auto"/>
          <w:kern w:val="0"/>
          <w:sz w:val="24"/>
          <w:highlight w:val="yellow"/>
          <w:shd w:val="clear" w:color="auto" w:fill="FFFFFF"/>
          <w:lang w:val="en-US" w:eastAsia="zh-CN" w:bidi="ar"/>
        </w:rPr>
        <w:t>中标供应商</w:t>
      </w:r>
      <w:r>
        <w:rPr>
          <w:rFonts w:hint="eastAsia" w:ascii="宋体" w:hAnsi="宋体" w:eastAsia="宋体" w:cs="宋体"/>
          <w:color w:val="auto"/>
          <w:kern w:val="0"/>
          <w:sz w:val="24"/>
          <w:highlight w:val="yellow"/>
          <w:shd w:val="clear" w:color="auto" w:fill="FFFFFF"/>
          <w:lang w:bidi="ar"/>
        </w:rPr>
        <w:t>承担。</w:t>
      </w:r>
    </w:p>
    <w:p>
      <w:pPr>
        <w:pStyle w:val="19"/>
        <w:spacing w:before="0" w:line="360" w:lineRule="auto"/>
        <w:rPr>
          <w:b/>
          <w:highlight w:val="none"/>
        </w:rPr>
      </w:pPr>
      <w:r>
        <w:rPr>
          <w:b/>
          <w:highlight w:val="none"/>
        </w:rPr>
        <w:t>四</w:t>
      </w:r>
      <w:r>
        <w:rPr>
          <w:rFonts w:hint="eastAsia"/>
          <w:b/>
          <w:highlight w:val="none"/>
        </w:rPr>
        <w:t>、</w:t>
      </w:r>
      <w:r>
        <w:rPr>
          <w:b/>
          <w:highlight w:val="none"/>
        </w:rPr>
        <w:t>报价方式</w:t>
      </w:r>
    </w:p>
    <w:p>
      <w:pPr>
        <w:pStyle w:val="19"/>
        <w:spacing w:before="0" w:line="360" w:lineRule="auto"/>
        <w:ind w:firstLine="420"/>
        <w:rPr>
          <w:i w:val="0"/>
          <w:iCs w:val="0"/>
          <w:highlight w:val="none"/>
        </w:rPr>
      </w:pPr>
      <w:r>
        <w:rPr>
          <w:rFonts w:hint="eastAsia"/>
          <w:i w:val="0"/>
          <w:iCs w:val="0"/>
          <w:highlight w:val="none"/>
        </w:rPr>
        <w:t>1、</w:t>
      </w:r>
      <w:r>
        <w:rPr>
          <w:rFonts w:hint="eastAsia"/>
          <w:b/>
          <w:bCs/>
          <w:i w:val="0"/>
          <w:iCs w:val="0"/>
          <w:color w:val="auto"/>
          <w:highlight w:val="none"/>
        </w:rPr>
        <w:t>本工程采用“工程量清单计价方式”按固定综合单价计价</w:t>
      </w:r>
      <w:r>
        <w:rPr>
          <w:rFonts w:hint="eastAsia"/>
          <w:i w:val="0"/>
          <w:iCs w:val="0"/>
          <w:highlight w:val="none"/>
        </w:rPr>
        <w:t>。综合单价是相对于工程量清单计价而言，对完成一个规定计量单位的分部分项工程量清单项目或措施清单项目所需的人工费、材料费、施工机械使用费和企业管理费与利润，以及一定范围内的风险费用。</w:t>
      </w:r>
    </w:p>
    <w:p>
      <w:pPr>
        <w:pStyle w:val="19"/>
        <w:spacing w:before="0" w:line="360" w:lineRule="auto"/>
        <w:ind w:firstLine="480" w:firstLineChars="200"/>
        <w:rPr>
          <w:i w:val="0"/>
          <w:iCs w:val="0"/>
          <w:highlight w:val="none"/>
        </w:rPr>
      </w:pPr>
      <w:r>
        <w:rPr>
          <w:rFonts w:hint="eastAsia"/>
          <w:i w:val="0"/>
          <w:iCs w:val="0"/>
          <w:highlight w:val="none"/>
        </w:rPr>
        <w:t>2、本工程磋商报价的编制应按《建设工程工程量清单计价规范(GB50500-2013) 等规范、文件要求编制。供应商应按规范及相关文件的规定自主确定磋商报价。</w:t>
      </w:r>
    </w:p>
    <w:bookmarkEnd w:id="684"/>
    <w:p>
      <w:pPr>
        <w:snapToGrid w:val="0"/>
        <w:spacing w:line="360" w:lineRule="auto"/>
        <w:rPr>
          <w:rFonts w:ascii="宋体" w:hAnsi="宋体"/>
          <w:b/>
          <w:sz w:val="24"/>
          <w:highlight w:val="none"/>
        </w:rPr>
      </w:pPr>
      <w:r>
        <w:rPr>
          <w:rFonts w:hint="eastAsia" w:ascii="宋体" w:hAnsi="宋体"/>
          <w:b/>
          <w:sz w:val="24"/>
          <w:highlight w:val="none"/>
        </w:rPr>
        <w:t>五、 验收标准</w:t>
      </w:r>
    </w:p>
    <w:p>
      <w:pPr>
        <w:snapToGrid w:val="0"/>
        <w:spacing w:line="360" w:lineRule="auto"/>
        <w:ind w:firstLine="480" w:firstLineChars="200"/>
        <w:rPr>
          <w:rFonts w:ascii="宋体" w:hAnsi="宋体"/>
          <w:sz w:val="24"/>
          <w:highlight w:val="none"/>
        </w:rPr>
      </w:pPr>
      <w:r>
        <w:rPr>
          <w:rFonts w:hint="eastAsia" w:ascii="宋体" w:hAnsi="宋体"/>
          <w:sz w:val="24"/>
          <w:highlight w:val="none"/>
        </w:rPr>
        <w:t>符合国家相关标准、行业标准、地方标准或者其他标准、规范。</w:t>
      </w:r>
    </w:p>
    <w:p>
      <w:pPr>
        <w:jc w:val="both"/>
        <w:rPr>
          <w:b/>
          <w:sz w:val="36"/>
          <w:szCs w:val="36"/>
          <w:highlight w:val="none"/>
        </w:rPr>
      </w:pPr>
      <w:r>
        <w:rPr>
          <w:rFonts w:hint="eastAsia" w:ascii="宋体" w:hAnsi="宋体" w:eastAsia="宋体" w:cs="宋体"/>
          <w:b w:val="0"/>
          <w:bCs w:val="0"/>
          <w:i w:val="0"/>
          <w:iCs w:val="0"/>
          <w:sz w:val="21"/>
          <w:szCs w:val="21"/>
          <w:rtl w:val="0"/>
          <w:lang w:val="en-US" w:eastAsia="zh-CN"/>
        </w:rPr>
        <w:br w:type="page"/>
      </w:r>
    </w:p>
    <w:p>
      <w:pPr>
        <w:pStyle w:val="117"/>
        <w:adjustRightInd w:val="0"/>
        <w:spacing w:line="360" w:lineRule="auto"/>
        <w:ind w:firstLine="723"/>
        <w:contextualSpacing/>
        <w:jc w:val="center"/>
        <w:rPr>
          <w:b/>
          <w:sz w:val="36"/>
          <w:szCs w:val="36"/>
          <w:highlight w:val="none"/>
        </w:rPr>
      </w:pPr>
      <w:r>
        <w:rPr>
          <w:b/>
          <w:sz w:val="36"/>
          <w:szCs w:val="36"/>
          <w:highlight w:val="none"/>
        </w:rPr>
        <w:t>第五章合同草案条款</w:t>
      </w:r>
      <w:bookmarkEnd w:id="683"/>
    </w:p>
    <w:p>
      <w:pPr>
        <w:jc w:val="center"/>
        <w:rPr>
          <w:rFonts w:hint="eastAsia" w:ascii="黑体" w:hAnsi="黑体" w:eastAsia="黑体" w:cs="黑体"/>
          <w:b/>
          <w:sz w:val="52"/>
          <w:szCs w:val="52"/>
        </w:rPr>
      </w:pPr>
    </w:p>
    <w:p>
      <w:pPr>
        <w:jc w:val="center"/>
        <w:rPr>
          <w:rFonts w:hint="eastAsia" w:ascii="黑体" w:hAnsi="黑体" w:eastAsia="黑体" w:cs="黑体"/>
          <w:b/>
          <w:sz w:val="52"/>
          <w:szCs w:val="52"/>
        </w:rPr>
      </w:pPr>
    </w:p>
    <w:p>
      <w:pPr>
        <w:jc w:val="center"/>
        <w:rPr>
          <w:rFonts w:hint="eastAsia" w:ascii="黑体" w:hAnsi="黑体" w:eastAsia="黑体" w:cs="黑体"/>
          <w:b/>
          <w:sz w:val="52"/>
          <w:szCs w:val="52"/>
        </w:rPr>
      </w:pPr>
    </w:p>
    <w:p>
      <w:pPr>
        <w:pStyle w:val="3"/>
        <w:bidi w:val="0"/>
        <w:jc w:val="center"/>
        <w:rPr>
          <w:rFonts w:hint="eastAsia"/>
          <w:sz w:val="48"/>
          <w:szCs w:val="28"/>
          <w:lang w:val="en-US" w:eastAsia="zh-CN"/>
        </w:rPr>
      </w:pPr>
      <w:bookmarkStart w:id="685" w:name="_Toc104818930"/>
      <w:r>
        <w:rPr>
          <w:rFonts w:hint="eastAsia"/>
          <w:sz w:val="48"/>
          <w:szCs w:val="28"/>
          <w:lang w:val="en-US" w:eastAsia="zh-CN"/>
        </w:rPr>
        <w:t>合同</w:t>
      </w:r>
    </w:p>
    <w:p>
      <w:pPr>
        <w:jc w:val="center"/>
        <w:rPr>
          <w:rFonts w:hint="eastAsia" w:ascii="黑体" w:hAnsi="黑体" w:eastAsia="黑体" w:cs="黑体"/>
          <w:bCs/>
          <w:color w:val="auto"/>
          <w:sz w:val="72"/>
          <w:szCs w:val="44"/>
        </w:rPr>
      </w:pPr>
    </w:p>
    <w:p>
      <w:pPr>
        <w:spacing w:line="480" w:lineRule="auto"/>
        <w:rPr>
          <w:rFonts w:hint="eastAsia" w:ascii="黑体" w:hAnsi="黑体" w:eastAsia="黑体" w:cs="黑体"/>
          <w:b/>
          <w:color w:val="auto"/>
          <w:sz w:val="36"/>
          <w:szCs w:val="36"/>
        </w:rPr>
      </w:pPr>
    </w:p>
    <w:p>
      <w:pPr>
        <w:spacing w:line="480" w:lineRule="auto"/>
        <w:rPr>
          <w:rFonts w:hint="eastAsia" w:ascii="黑体" w:hAnsi="黑体" w:eastAsia="黑体" w:cs="黑体"/>
          <w:b/>
          <w:color w:val="auto"/>
          <w:sz w:val="36"/>
          <w:szCs w:val="36"/>
        </w:rPr>
      </w:pPr>
    </w:p>
    <w:p>
      <w:pPr>
        <w:spacing w:line="480" w:lineRule="auto"/>
        <w:jc w:val="center"/>
        <w:rPr>
          <w:rFonts w:hint="eastAsia" w:ascii="黑体" w:hAnsi="黑体" w:eastAsia="黑体" w:cs="黑体"/>
          <w:b/>
          <w:color w:val="auto"/>
          <w:sz w:val="36"/>
          <w:szCs w:val="36"/>
        </w:rPr>
      </w:pPr>
    </w:p>
    <w:p>
      <w:pPr>
        <w:spacing w:line="480" w:lineRule="auto"/>
        <w:jc w:val="center"/>
        <w:rPr>
          <w:rFonts w:hint="eastAsia" w:ascii="黑体" w:hAnsi="黑体" w:eastAsia="黑体" w:cs="黑体"/>
          <w:b/>
          <w:color w:val="auto"/>
          <w:sz w:val="36"/>
          <w:szCs w:val="36"/>
        </w:rPr>
      </w:pPr>
    </w:p>
    <w:p>
      <w:pPr>
        <w:spacing w:line="480" w:lineRule="auto"/>
        <w:jc w:val="center"/>
        <w:rPr>
          <w:rFonts w:hint="eastAsia" w:ascii="黑体" w:hAnsi="黑体" w:eastAsia="黑体" w:cs="黑体"/>
          <w:b/>
          <w:color w:val="auto"/>
          <w:sz w:val="36"/>
          <w:szCs w:val="36"/>
          <w:lang w:eastAsia="zh-CN"/>
        </w:rPr>
      </w:pPr>
      <w:r>
        <w:rPr>
          <w:rFonts w:hint="eastAsia" w:ascii="黑体" w:hAnsi="黑体" w:eastAsia="黑体" w:cs="黑体"/>
          <w:b/>
          <w:color w:val="auto"/>
          <w:sz w:val="36"/>
          <w:szCs w:val="36"/>
          <w:lang w:val="en-US" w:eastAsia="zh-CN"/>
        </w:rPr>
        <w:t xml:space="preserve"> </w:t>
      </w:r>
      <w:r>
        <w:rPr>
          <w:rFonts w:hint="eastAsia" w:ascii="黑体" w:hAnsi="黑体" w:eastAsia="黑体" w:cs="黑体"/>
          <w:b/>
          <w:color w:val="auto"/>
          <w:sz w:val="36"/>
          <w:szCs w:val="36"/>
        </w:rPr>
        <w:t>发包人（甲方）：</w:t>
      </w:r>
      <w:r>
        <w:rPr>
          <w:rFonts w:hint="eastAsia" w:ascii="黑体" w:hAnsi="黑体" w:eastAsia="黑体" w:cs="黑体"/>
          <w:b/>
          <w:color w:val="auto"/>
          <w:sz w:val="36"/>
          <w:szCs w:val="36"/>
          <w:lang w:eastAsia="zh-CN"/>
        </w:rPr>
        <w:t>常州市西太湖旅游发展有限公司</w:t>
      </w:r>
    </w:p>
    <w:p>
      <w:pPr>
        <w:spacing w:line="480" w:lineRule="auto"/>
        <w:ind w:firstLine="723" w:firstLineChars="200"/>
        <w:jc w:val="both"/>
        <w:rPr>
          <w:rFonts w:hint="eastAsia" w:ascii="黑体" w:hAnsi="黑体" w:eastAsia="黑体" w:cs="黑体"/>
          <w:b/>
          <w:color w:val="auto"/>
          <w:sz w:val="36"/>
          <w:szCs w:val="36"/>
        </w:rPr>
      </w:pPr>
      <w:r>
        <w:rPr>
          <w:rFonts w:hint="eastAsia" w:ascii="黑体" w:hAnsi="黑体" w:eastAsia="黑体" w:cs="黑体"/>
          <w:b/>
          <w:color w:val="auto"/>
          <w:sz w:val="36"/>
          <w:szCs w:val="36"/>
        </w:rPr>
        <w:t>承包人（乙方）：</w:t>
      </w:r>
    </w:p>
    <w:p>
      <w:pPr>
        <w:pStyle w:val="62"/>
        <w:ind w:left="0" w:leftChars="0" w:firstLine="0" w:firstLineChars="0"/>
        <w:rPr>
          <w:rFonts w:hint="eastAsia" w:ascii="黑体" w:hAnsi="黑体" w:eastAsia="黑体" w:cs="黑体"/>
          <w:b/>
          <w:color w:val="auto"/>
          <w:sz w:val="30"/>
        </w:rPr>
      </w:pPr>
    </w:p>
    <w:p>
      <w:pPr>
        <w:rPr>
          <w:rFonts w:hint="eastAsia" w:ascii="黑体" w:hAnsi="黑体" w:eastAsia="黑体" w:cs="黑体"/>
          <w:b/>
          <w:color w:val="auto"/>
          <w:sz w:val="30"/>
        </w:rPr>
      </w:pPr>
    </w:p>
    <w:p>
      <w:pPr>
        <w:pStyle w:val="62"/>
        <w:ind w:left="0" w:leftChars="0" w:firstLine="0" w:firstLineChars="0"/>
        <w:rPr>
          <w:rFonts w:hint="eastAsia" w:ascii="黑体" w:hAnsi="黑体" w:eastAsia="黑体" w:cs="黑体"/>
          <w:b/>
          <w:color w:val="auto"/>
          <w:sz w:val="30"/>
        </w:rPr>
      </w:pPr>
    </w:p>
    <w:p>
      <w:pPr>
        <w:rPr>
          <w:rFonts w:hint="eastAsia" w:ascii="黑体" w:hAnsi="黑体" w:eastAsia="黑体" w:cs="黑体"/>
          <w:b/>
          <w:color w:val="auto"/>
          <w:sz w:val="30"/>
        </w:rPr>
      </w:pPr>
    </w:p>
    <w:p>
      <w:pPr>
        <w:pStyle w:val="62"/>
        <w:rPr>
          <w:rFonts w:hint="eastAsia" w:ascii="黑体" w:hAnsi="黑体" w:eastAsia="黑体" w:cs="黑体"/>
          <w:color w:val="auto"/>
        </w:rPr>
      </w:pPr>
    </w:p>
    <w:p>
      <w:pPr>
        <w:widowControl/>
        <w:autoSpaceDE w:val="0"/>
        <w:autoSpaceDN w:val="0"/>
        <w:spacing w:line="360" w:lineRule="auto"/>
        <w:ind w:firstLine="602" w:firstLineChars="200"/>
        <w:jc w:val="center"/>
        <w:textAlignment w:val="bottom"/>
        <w:rPr>
          <w:rFonts w:hint="eastAsia" w:ascii="黑体" w:hAnsi="黑体" w:eastAsia="黑体" w:cs="黑体"/>
          <w:b/>
          <w:color w:val="auto"/>
          <w:sz w:val="30"/>
        </w:rPr>
      </w:pPr>
    </w:p>
    <w:p>
      <w:pPr>
        <w:pStyle w:val="29"/>
        <w:spacing w:line="360" w:lineRule="auto"/>
        <w:ind w:left="0" w:leftChars="0"/>
        <w:jc w:val="center"/>
        <w:rPr>
          <w:rFonts w:hint="eastAsia" w:ascii="黑体" w:hAnsi="黑体" w:eastAsia="黑体" w:cs="黑体"/>
          <w:b/>
          <w:color w:val="auto"/>
          <w:sz w:val="30"/>
        </w:rPr>
      </w:pPr>
      <w:r>
        <w:rPr>
          <w:rFonts w:hint="eastAsia" w:ascii="黑体" w:hAnsi="黑体" w:eastAsia="黑体" w:cs="黑体"/>
          <w:b/>
          <w:color w:val="auto"/>
          <w:sz w:val="30"/>
        </w:rPr>
        <w:t>【</w:t>
      </w:r>
      <w:r>
        <w:rPr>
          <w:rFonts w:hint="default" w:ascii="Times New Roman" w:hAnsi="Times New Roman" w:eastAsia="黑体" w:cs="Times New Roman"/>
          <w:b/>
          <w:color w:val="auto"/>
          <w:sz w:val="30"/>
        </w:rPr>
        <w:t>202</w:t>
      </w:r>
      <w:r>
        <w:rPr>
          <w:rFonts w:hint="eastAsia" w:ascii="Times New Roman" w:hAnsi="Times New Roman" w:eastAsia="黑体" w:cs="Times New Roman"/>
          <w:b/>
          <w:color w:val="auto"/>
          <w:sz w:val="30"/>
          <w:lang w:val="en-US" w:eastAsia="zh-CN"/>
        </w:rPr>
        <w:t>4</w:t>
      </w:r>
      <w:r>
        <w:rPr>
          <w:rFonts w:hint="eastAsia" w:ascii="黑体" w:hAnsi="黑体" w:eastAsia="黑体" w:cs="黑体"/>
          <w:b/>
          <w:color w:val="auto"/>
          <w:sz w:val="30"/>
        </w:rPr>
        <w:t>】年【 】月签订于江苏省常州市</w:t>
      </w:r>
    </w:p>
    <w:p>
      <w:pPr>
        <w:jc w:val="center"/>
        <w:rPr>
          <w:rFonts w:hint="eastAsia" w:ascii="宋体" w:hAnsi="宋体" w:cs="宋体"/>
          <w:b/>
          <w:color w:val="auto"/>
          <w:sz w:val="32"/>
          <w:szCs w:val="32"/>
          <w:lang w:val="en-US" w:eastAsia="zh-CN"/>
        </w:rPr>
      </w:pPr>
      <w:r>
        <w:rPr>
          <w:rFonts w:hint="eastAsia" w:ascii="宋体" w:hAnsi="宋体" w:cs="宋体"/>
          <w:b/>
          <w:color w:val="auto"/>
          <w:sz w:val="32"/>
          <w:szCs w:val="32"/>
        </w:rPr>
        <w:br w:type="page"/>
      </w:r>
      <w:r>
        <w:rPr>
          <w:rFonts w:hint="eastAsia" w:ascii="宋体" w:hAnsi="宋体" w:cs="宋体"/>
          <w:b/>
          <w:color w:val="auto"/>
          <w:sz w:val="32"/>
          <w:szCs w:val="32"/>
          <w:lang w:eastAsia="zh-CN"/>
        </w:rPr>
        <w:t>西太湖文旅办公室硬装采购项目</w:t>
      </w:r>
      <w:r>
        <w:rPr>
          <w:rFonts w:hint="eastAsia" w:ascii="宋体" w:hAnsi="宋体" w:cs="宋体"/>
          <w:b/>
          <w:color w:val="auto"/>
          <w:sz w:val="32"/>
          <w:szCs w:val="32"/>
          <w:lang w:val="en-US" w:eastAsia="zh-CN"/>
        </w:rPr>
        <w:t>合同</w:t>
      </w:r>
    </w:p>
    <w:p>
      <w:pPr>
        <w:jc w:val="center"/>
        <w:rPr>
          <w:rFonts w:hint="eastAsia" w:ascii="宋体" w:hAnsi="宋体" w:cs="宋体"/>
          <w:b/>
          <w:color w:val="auto"/>
          <w:sz w:val="44"/>
          <w:szCs w:val="44"/>
        </w:rPr>
      </w:pPr>
    </w:p>
    <w:p>
      <w:pPr>
        <w:pStyle w:val="62"/>
        <w:rPr>
          <w:rFonts w:hint="eastAsia"/>
          <w:color w:val="auto"/>
        </w:rPr>
      </w:pPr>
    </w:p>
    <w:p>
      <w:pPr>
        <w:spacing w:line="360" w:lineRule="auto"/>
        <w:ind w:firstLine="482" w:firstLineChars="200"/>
        <w:rPr>
          <w:rFonts w:hint="eastAsia" w:ascii="宋体" w:hAnsi="宋体" w:cs="宋体"/>
          <w:b/>
          <w:color w:val="auto"/>
          <w:sz w:val="24"/>
          <w:u w:val="single"/>
        </w:rPr>
      </w:pPr>
      <w:r>
        <w:rPr>
          <w:rFonts w:hint="eastAsia" w:ascii="宋体" w:hAnsi="宋体" w:cs="宋体"/>
          <w:b/>
          <w:color w:val="auto"/>
          <w:sz w:val="24"/>
        </w:rPr>
        <w:t>发包人（甲方）：</w:t>
      </w:r>
    </w:p>
    <w:p>
      <w:pPr>
        <w:spacing w:line="360" w:lineRule="auto"/>
        <w:ind w:firstLine="482" w:firstLineChars="200"/>
        <w:rPr>
          <w:rFonts w:hint="eastAsia" w:ascii="宋体" w:hAnsi="宋体" w:cs="宋体"/>
          <w:b/>
          <w:color w:val="auto"/>
          <w:sz w:val="24"/>
          <w:u w:val="single"/>
        </w:rPr>
      </w:pPr>
      <w:r>
        <w:rPr>
          <w:rFonts w:hint="eastAsia" w:ascii="宋体" w:hAnsi="宋体" w:cs="宋体"/>
          <w:b/>
          <w:color w:val="auto"/>
          <w:sz w:val="24"/>
        </w:rPr>
        <w:t>承包人（乙方）：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根据《中华人民共和国民法典》《中华人民共和国建筑法》及有关法律规定，遵循平等、自愿、公平和诚实信用的原则，双方就</w:t>
      </w:r>
      <w:r>
        <w:rPr>
          <w:rFonts w:hint="eastAsia" w:ascii="宋体" w:hAnsi="宋体" w:cs="宋体"/>
          <w:color w:val="auto"/>
          <w:sz w:val="24"/>
          <w:u w:val="single"/>
          <w:lang w:val="en-US" w:eastAsia="zh-CN"/>
        </w:rPr>
        <w:t xml:space="preserve">                 </w:t>
      </w:r>
      <w:r>
        <w:rPr>
          <w:rFonts w:hint="eastAsia" w:ascii="宋体" w:hAnsi="宋体" w:cs="宋体"/>
          <w:color w:val="auto"/>
          <w:sz w:val="24"/>
        </w:rPr>
        <w:t>事项协商一致，共同达成如下协议：</w:t>
      </w:r>
    </w:p>
    <w:p>
      <w:pPr>
        <w:spacing w:line="360" w:lineRule="auto"/>
        <w:ind w:firstLine="482" w:firstLineChars="200"/>
        <w:rPr>
          <w:rFonts w:hint="eastAsia" w:ascii="宋体" w:hAnsi="宋体" w:cs="宋体"/>
          <w:color w:val="auto"/>
          <w:sz w:val="24"/>
        </w:rPr>
      </w:pPr>
      <w:bookmarkStart w:id="686" w:name="_Toc351203481"/>
      <w:r>
        <w:rPr>
          <w:rFonts w:hint="eastAsia" w:ascii="宋体" w:hAnsi="宋体" w:cs="宋体"/>
          <w:b/>
          <w:color w:val="auto"/>
          <w:sz w:val="24"/>
        </w:rPr>
        <w:t>一、工程概况</w:t>
      </w:r>
      <w:bookmarkEnd w:id="686"/>
    </w:p>
    <w:p>
      <w:pPr>
        <w:spacing w:line="360" w:lineRule="auto"/>
        <w:ind w:firstLine="480"/>
        <w:rPr>
          <w:rFonts w:hint="eastAsia" w:ascii="宋体" w:hAnsi="宋体" w:cs="宋体"/>
          <w:color w:val="auto"/>
          <w:sz w:val="24"/>
          <w:u w:val="single"/>
        </w:rPr>
      </w:pPr>
      <w:r>
        <w:rPr>
          <w:rFonts w:hint="eastAsia" w:ascii="宋体" w:hAnsi="宋体" w:cs="宋体"/>
          <w:color w:val="auto"/>
          <w:sz w:val="24"/>
        </w:rPr>
        <w:t>1.工程名称：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360" w:lineRule="auto"/>
        <w:ind w:firstLine="480"/>
        <w:rPr>
          <w:rFonts w:hint="eastAsia" w:ascii="宋体" w:hAnsi="宋体" w:cs="宋体"/>
          <w:color w:val="auto"/>
          <w:kern w:val="0"/>
          <w:sz w:val="24"/>
          <w:u w:val="single"/>
        </w:rPr>
      </w:pPr>
      <w:r>
        <w:rPr>
          <w:rFonts w:hint="eastAsia" w:ascii="宋体" w:hAnsi="宋体" w:cs="宋体"/>
          <w:color w:val="auto"/>
          <w:sz w:val="24"/>
        </w:rPr>
        <w:t>2.工程地点：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3.工程内容：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360" w:lineRule="auto"/>
        <w:ind w:firstLine="480" w:firstLineChars="200"/>
        <w:rPr>
          <w:rFonts w:hint="default" w:ascii="宋体" w:hAnsi="宋体" w:eastAsia="宋体" w:cs="宋体"/>
          <w:color w:val="auto"/>
          <w:sz w:val="24"/>
          <w:u w:val="single"/>
          <w:lang w:val="en-US" w:eastAsia="zh-CN"/>
        </w:rPr>
      </w:pPr>
      <w:r>
        <w:rPr>
          <w:rFonts w:hint="eastAsia" w:ascii="宋体" w:hAnsi="宋体" w:cs="宋体"/>
          <w:bCs/>
          <w:color w:val="auto"/>
          <w:sz w:val="24"/>
        </w:rPr>
        <w:t>4.工程承包范围：</w:t>
      </w:r>
      <w:r>
        <w:rPr>
          <w:rFonts w:hint="eastAsia" w:ascii="宋体" w:hAnsi="宋体" w:cs="宋体"/>
          <w:color w:val="auto"/>
          <w:sz w:val="24"/>
          <w:u w:val="single"/>
          <w:lang w:val="zh-CN"/>
        </w:rPr>
        <w:t>工程量清单全部内容</w:t>
      </w:r>
      <w:r>
        <w:rPr>
          <w:rFonts w:hint="eastAsia" w:ascii="宋体" w:hAnsi="宋体" w:cs="宋体"/>
          <w:color w:val="auto"/>
          <w:sz w:val="24"/>
          <w:u w:val="single"/>
          <w:lang w:val="en-US" w:eastAsia="zh-CN"/>
        </w:rPr>
        <w:t xml:space="preserve">              </w:t>
      </w:r>
    </w:p>
    <w:p>
      <w:pPr>
        <w:pStyle w:val="6"/>
        <w:spacing w:before="0" w:after="0" w:line="360" w:lineRule="auto"/>
        <w:ind w:firstLine="482" w:firstLineChars="200"/>
        <w:rPr>
          <w:rFonts w:hint="eastAsia" w:ascii="宋体" w:hAnsi="宋体" w:cs="宋体"/>
          <w:color w:val="auto"/>
          <w:sz w:val="24"/>
          <w:szCs w:val="24"/>
        </w:rPr>
      </w:pPr>
      <w:bookmarkStart w:id="687" w:name="_Toc351203482"/>
      <w:r>
        <w:rPr>
          <w:rFonts w:hint="eastAsia" w:ascii="宋体" w:hAnsi="宋体" w:cs="宋体"/>
          <w:color w:val="auto"/>
          <w:sz w:val="24"/>
          <w:szCs w:val="24"/>
        </w:rPr>
        <w:t>二、合同工期</w:t>
      </w:r>
      <w:bookmarkEnd w:id="687"/>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1.计划开工日期：</w:t>
      </w: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2.计划竣工日期：</w:t>
      </w: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p>
    <w:p>
      <w:pPr>
        <w:spacing w:line="360" w:lineRule="auto"/>
        <w:ind w:firstLine="480" w:firstLineChars="200"/>
        <w:rPr>
          <w:rFonts w:hint="eastAsia" w:ascii="宋体" w:hAnsi="宋体" w:cs="宋体"/>
          <w:b/>
          <w:color w:val="auto"/>
          <w:sz w:val="24"/>
        </w:rPr>
      </w:pPr>
      <w:r>
        <w:rPr>
          <w:rFonts w:hint="eastAsia" w:ascii="宋体" w:hAnsi="宋体" w:cs="宋体"/>
          <w:color w:val="auto"/>
          <w:sz w:val="24"/>
        </w:rPr>
        <w:t>3.工期总日历天数：</w:t>
      </w:r>
      <w:r>
        <w:rPr>
          <w:rFonts w:hint="eastAsia" w:ascii="宋体" w:hAnsi="宋体" w:cs="宋体"/>
          <w:color w:val="auto"/>
          <w:sz w:val="24"/>
          <w:lang w:val="en-US" w:eastAsia="zh-CN"/>
        </w:rPr>
        <w:t>自合同签订之日起</w:t>
      </w:r>
      <w:r>
        <w:rPr>
          <w:rFonts w:hint="eastAsia" w:ascii="宋体" w:hAnsi="宋体" w:cs="宋体"/>
          <w:color w:val="auto"/>
          <w:sz w:val="24"/>
          <w:u w:val="single"/>
          <w:lang w:val="en-US" w:eastAsia="zh-CN"/>
        </w:rPr>
        <w:t>30</w:t>
      </w:r>
      <w:r>
        <w:rPr>
          <w:rFonts w:hint="eastAsia" w:ascii="宋体" w:hAnsi="宋体" w:cs="宋体"/>
          <w:color w:val="auto"/>
          <w:sz w:val="24"/>
          <w:lang w:val="en-US" w:eastAsia="zh-CN"/>
        </w:rPr>
        <w:t>个日历日，同时施工工期必须严格服从发包人的安排，满足工程进度的要求</w:t>
      </w:r>
      <w:r>
        <w:rPr>
          <w:rFonts w:hint="eastAsia" w:ascii="宋体" w:hAnsi="宋体" w:cs="宋体"/>
          <w:b/>
          <w:color w:val="auto"/>
          <w:sz w:val="24"/>
        </w:rPr>
        <w:t>。</w:t>
      </w:r>
    </w:p>
    <w:p>
      <w:pPr>
        <w:pStyle w:val="6"/>
        <w:spacing w:before="0" w:after="0" w:line="360" w:lineRule="auto"/>
        <w:ind w:firstLine="482" w:firstLineChars="200"/>
        <w:rPr>
          <w:rFonts w:hint="eastAsia" w:ascii="宋体" w:hAnsi="宋体" w:cs="宋体"/>
          <w:color w:val="auto"/>
          <w:sz w:val="24"/>
          <w:szCs w:val="24"/>
        </w:rPr>
      </w:pPr>
      <w:bookmarkStart w:id="688" w:name="_Toc351203483"/>
      <w:r>
        <w:rPr>
          <w:rFonts w:hint="eastAsia" w:ascii="宋体" w:hAnsi="宋体" w:cs="宋体"/>
          <w:color w:val="auto"/>
          <w:sz w:val="24"/>
          <w:szCs w:val="24"/>
        </w:rPr>
        <w:t>三、质量标准</w:t>
      </w:r>
      <w:bookmarkEnd w:id="688"/>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 工程质量符合</w:t>
      </w:r>
      <w:r>
        <w:rPr>
          <w:rFonts w:hint="eastAsia" w:ascii="宋体" w:hAnsi="宋体" w:cs="宋体"/>
          <w:color w:val="auto"/>
          <w:sz w:val="24"/>
          <w:u w:val="single"/>
        </w:rPr>
        <w:t xml:space="preserve">  合格  </w:t>
      </w:r>
      <w:r>
        <w:rPr>
          <w:rFonts w:hint="eastAsia" w:ascii="宋体" w:hAnsi="宋体" w:cs="宋体"/>
          <w:color w:val="auto"/>
          <w:sz w:val="24"/>
        </w:rPr>
        <w:t>标准。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工程质量标准必须符合现行国家有关工程施工质量验收规范和标准的要求。有关工程质量的特殊标准或要求由合同当事人在专用合同条款中约定。</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2.因承包人原因造成工程质量未达到合同约定标准的，发包人有权要求承包人返工直至工程质量达到合同约定的标准为止，并由承包人承担由此增加的费用和（或）延误的工期。</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 承包人应当对工程隐蔽部位进行自检，并经发包人或监理人检查确认质量符合隐蔽要求，在验收记录上签字后，承包人才能进行覆盖。承包人未通知发包人或监理人到场检查，私自将工程隐蔽部位覆盖的，发包人有权指示承包人钻孔探测或揭开检查，无论工程隐蔽部位质量是否合格，由此增加的费用和（或）延误的工期均由承包人承担。</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样品的报送与封存：主要材料设备（包括但不限于甲控品牌及暂估价材料设备）须由承包人在采购前向发包人报送样品，并提出书面申请，写明进场材料（设备）的品牌、名称、产地、规格型号、价格及其相关资料等报于发包人或监理人，待发包人书面审核批准后，由承包人进行采购。所有经发包人认可的样品由发包人封存，并作为材料进场验收的依据。发包人有权对进场材料送交相关有资质的检测部门进行检测，如检测不合格，由承包人承担一切相关检测费用，并承担违约责任。</w:t>
      </w:r>
    </w:p>
    <w:p>
      <w:pPr>
        <w:pStyle w:val="6"/>
        <w:spacing w:before="0" w:after="0" w:line="360" w:lineRule="auto"/>
        <w:rPr>
          <w:rFonts w:hint="eastAsia" w:ascii="宋体" w:hAnsi="宋体" w:cs="宋体"/>
          <w:color w:val="auto"/>
          <w:sz w:val="24"/>
          <w:szCs w:val="24"/>
        </w:rPr>
      </w:pPr>
      <w:bookmarkStart w:id="689" w:name="_Toc351203484"/>
      <w:r>
        <w:rPr>
          <w:rFonts w:hint="eastAsia" w:ascii="宋体" w:hAnsi="宋体" w:cs="宋体"/>
          <w:color w:val="auto"/>
          <w:sz w:val="24"/>
          <w:szCs w:val="24"/>
        </w:rPr>
        <w:t xml:space="preserve">    四、安全文明施工</w:t>
      </w:r>
    </w:p>
    <w:p>
      <w:pPr>
        <w:pageBreakBefore w:val="0"/>
        <w:kinsoku/>
        <w:wordWrap/>
        <w:overflowPunct/>
        <w:topLinePunct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项目安全生产的达标目标及相应事项的约定：在整个合同实施过程中，承包人应对现场人员的安全、现场秩序、工程保护、环境保护等负责并承担全部责任。并对工地围墙、工地照明、防护、标志、警告信号、保卫人员等做出具体安排。并按照国家、江苏省、常州市有关规定及施工现场实际情况做好施工现场的安全保卫工作及非夜间施工照明，确保施工安全并承担全部责任。 </w:t>
      </w:r>
    </w:p>
    <w:p>
      <w:pPr>
        <w:pageBreakBefore w:val="0"/>
        <w:kinsoku/>
        <w:wordWrap/>
        <w:overflowPunct/>
        <w:topLinePunct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2.承包人在工程施工期间，应当采取措施保持施工现场平整，物料堆放整齐。工程所在地有关政府行政管理部门有特殊要求的，按照其要求执行。 </w:t>
      </w:r>
    </w:p>
    <w:p>
      <w:pPr>
        <w:pageBreakBefore w:val="0"/>
        <w:kinsoku/>
        <w:wordWrap/>
        <w:overflowPunct/>
        <w:topLinePunct w:val="0"/>
        <w:bidi w:val="0"/>
        <w:adjustRightInd/>
        <w:snapToGrid/>
        <w:spacing w:beforeAutospacing="0" w:afterAutospacing="0" w:line="360" w:lineRule="auto"/>
        <w:ind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rPr>
        <w:t>3.承包人在工程施工期间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遵守</w:t>
      </w:r>
      <w:r>
        <w:rPr>
          <w:rFonts w:hint="eastAsia" w:ascii="宋体" w:hAnsi="宋体" w:eastAsia="宋体" w:cs="宋体"/>
          <w:color w:val="auto"/>
          <w:sz w:val="24"/>
          <w:szCs w:val="24"/>
          <w:lang w:val="en-US" w:eastAsia="zh-CN"/>
        </w:rPr>
        <w:t>发包人</w:t>
      </w:r>
      <w:r>
        <w:rPr>
          <w:rFonts w:hint="eastAsia" w:ascii="宋体" w:hAnsi="宋体" w:eastAsia="宋体" w:cs="宋体"/>
          <w:color w:val="auto"/>
          <w:sz w:val="24"/>
          <w:szCs w:val="24"/>
        </w:rPr>
        <w:t>内部管理制度，不得影响</w:t>
      </w:r>
      <w:r>
        <w:rPr>
          <w:rFonts w:hint="eastAsia" w:ascii="宋体" w:hAnsi="宋体" w:eastAsia="宋体" w:cs="宋体"/>
          <w:color w:val="auto"/>
          <w:sz w:val="24"/>
          <w:szCs w:val="24"/>
          <w:lang w:val="en-US" w:eastAsia="zh-CN"/>
        </w:rPr>
        <w:t>发包人</w:t>
      </w:r>
      <w:r>
        <w:rPr>
          <w:rFonts w:hint="eastAsia" w:ascii="宋体" w:hAnsi="宋体" w:eastAsia="宋体" w:cs="宋体"/>
          <w:color w:val="auto"/>
          <w:sz w:val="24"/>
          <w:szCs w:val="24"/>
        </w:rPr>
        <w:t>工作、生活、训练、学习等</w:t>
      </w:r>
      <w:r>
        <w:rPr>
          <w:rFonts w:hint="eastAsia" w:ascii="宋体" w:hAnsi="宋体" w:eastAsia="宋体" w:cs="宋体"/>
          <w:color w:val="auto"/>
          <w:sz w:val="24"/>
          <w:szCs w:val="24"/>
          <w:lang w:eastAsia="zh-CN"/>
        </w:rPr>
        <w:t>秩</w:t>
      </w:r>
      <w:r>
        <w:rPr>
          <w:rFonts w:hint="eastAsia" w:ascii="宋体" w:hAnsi="宋体" w:eastAsia="宋体" w:cs="宋体"/>
          <w:color w:val="auto"/>
          <w:sz w:val="24"/>
          <w:szCs w:val="24"/>
        </w:rPr>
        <w:t xml:space="preserve">序，积否则因此造成的一切损失、不良后果、责任由乙方承担。 </w:t>
      </w:r>
    </w:p>
    <w:p>
      <w:pPr>
        <w:pStyle w:val="6"/>
        <w:spacing w:before="0" w:after="0" w:line="360" w:lineRule="auto"/>
        <w:ind w:firstLine="482" w:firstLineChars="200"/>
        <w:rPr>
          <w:rFonts w:hint="eastAsia" w:ascii="宋体" w:hAnsi="宋体" w:cs="宋体"/>
          <w:color w:val="auto"/>
          <w:sz w:val="24"/>
          <w:szCs w:val="24"/>
        </w:rPr>
      </w:pPr>
      <w:r>
        <w:rPr>
          <w:rFonts w:hint="eastAsia" w:ascii="宋体" w:hAnsi="宋体" w:cs="宋体"/>
          <w:color w:val="auto"/>
          <w:sz w:val="24"/>
          <w:szCs w:val="24"/>
        </w:rPr>
        <w:t>五、签约合同价与合同价格形式</w:t>
      </w:r>
      <w:bookmarkEnd w:id="689"/>
      <w:r>
        <w:rPr>
          <w:rFonts w:hint="eastAsia" w:ascii="宋体" w:hAnsi="宋体" w:cs="宋体"/>
          <w:color w:val="auto"/>
          <w:sz w:val="24"/>
          <w:szCs w:val="24"/>
        </w:rPr>
        <w:tab/>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1.签约合同价为：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人民币（大写）</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lang w:val="en-US" w:eastAsia="zh-CN"/>
        </w:rPr>
        <w:t xml:space="preserve">          </w:t>
      </w:r>
      <w:r>
        <w:rPr>
          <w:rFonts w:hint="eastAsia" w:ascii="宋体" w:hAnsi="宋体" w:cs="宋体"/>
          <w:color w:val="auto"/>
          <w:sz w:val="24"/>
        </w:rPr>
        <w:t>元）；</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2.合同价格形式：</w:t>
      </w:r>
      <w:r>
        <w:rPr>
          <w:rFonts w:hint="eastAsia" w:ascii="宋体" w:hAnsi="宋体" w:cs="宋体"/>
          <w:color w:val="auto"/>
          <w:sz w:val="24"/>
        </w:rPr>
        <w:sym w:font="Wingdings" w:char="00FE"/>
      </w:r>
      <w:r>
        <w:rPr>
          <w:rFonts w:hint="eastAsia" w:ascii="宋体" w:hAnsi="宋体" w:cs="宋体"/>
          <w:color w:val="auto"/>
          <w:sz w:val="24"/>
        </w:rPr>
        <w:t xml:space="preserve">固定综合单价 </w:t>
      </w:r>
      <w:r>
        <w:rPr>
          <w:rFonts w:hint="eastAsia" w:ascii="宋体" w:hAnsi="宋体" w:cs="宋体"/>
          <w:color w:val="auto"/>
          <w:sz w:val="24"/>
        </w:rPr>
        <w:sym w:font="Wingdings" w:char="00A8"/>
      </w:r>
      <w:r>
        <w:rPr>
          <w:rFonts w:hint="eastAsia" w:ascii="宋体" w:hAnsi="宋体" w:cs="宋体"/>
          <w:color w:val="auto"/>
          <w:sz w:val="24"/>
        </w:rPr>
        <w:t xml:space="preserve">固定总价 </w:t>
      </w:r>
      <w:r>
        <w:rPr>
          <w:rFonts w:hint="eastAsia" w:ascii="宋体" w:hAnsi="宋体" w:cs="宋体"/>
          <w:color w:val="auto"/>
          <w:sz w:val="24"/>
        </w:rPr>
        <w:sym w:font="Wingdings" w:char="00A8"/>
      </w:r>
      <w:r>
        <w:rPr>
          <w:rFonts w:hint="eastAsia" w:ascii="宋体" w:hAnsi="宋体" w:cs="宋体"/>
          <w:color w:val="auto"/>
          <w:sz w:val="24"/>
        </w:rPr>
        <w:t>其他</w:t>
      </w:r>
      <w:r>
        <w:rPr>
          <w:rFonts w:hint="eastAsia" w:ascii="宋体" w:hAnsi="宋体" w:cs="宋体"/>
          <w:color w:val="auto"/>
          <w:sz w:val="24"/>
          <w:u w:val="single"/>
        </w:rPr>
        <w:t xml:space="preserve">           </w:t>
      </w:r>
    </w:p>
    <w:p>
      <w:pPr>
        <w:pStyle w:val="6"/>
        <w:keepNext w:val="0"/>
        <w:keepLines w:val="0"/>
        <w:widowControl/>
        <w:shd w:val="clear" w:color="auto" w:fill="FFFFFF"/>
        <w:spacing w:before="0" w:after="0" w:line="360" w:lineRule="auto"/>
        <w:ind w:firstLine="482" w:firstLineChars="200"/>
        <w:jc w:val="left"/>
        <w:rPr>
          <w:rFonts w:hint="eastAsia" w:ascii="宋体" w:hAnsi="宋体" w:cs="宋体"/>
          <w:color w:val="auto"/>
          <w:sz w:val="24"/>
          <w:szCs w:val="24"/>
        </w:rPr>
      </w:pPr>
      <w:bookmarkStart w:id="690" w:name="_Toc296346694"/>
      <w:bookmarkStart w:id="691" w:name="_Toc296503193"/>
      <w:bookmarkStart w:id="692" w:name="_Toc297123540"/>
      <w:bookmarkStart w:id="693" w:name="_Toc292559903"/>
      <w:bookmarkStart w:id="694" w:name="_Toc300934989"/>
      <w:bookmarkStart w:id="695" w:name="_Toc312678025"/>
      <w:bookmarkStart w:id="696" w:name="_Toc267251433"/>
      <w:bookmarkStart w:id="697" w:name="_Toc297048379"/>
      <w:bookmarkStart w:id="698" w:name="_Toc267251437"/>
      <w:bookmarkStart w:id="699" w:name="_Toc296944532"/>
      <w:bookmarkStart w:id="700" w:name="_Toc303539146"/>
      <w:bookmarkStart w:id="701" w:name="_Toc296891233"/>
      <w:bookmarkStart w:id="702" w:name="_Toc297216199"/>
      <w:bookmarkStart w:id="703" w:name="_Toc312677499"/>
      <w:bookmarkStart w:id="704" w:name="_Toc267251440"/>
      <w:bookmarkStart w:id="705" w:name="_Toc297120493"/>
      <w:bookmarkStart w:id="706" w:name="_Toc267251439"/>
      <w:bookmarkStart w:id="707" w:name="_Toc351203642"/>
      <w:bookmarkStart w:id="708" w:name="_Toc267251435"/>
      <w:bookmarkStart w:id="709" w:name="_Toc304295566"/>
      <w:bookmarkStart w:id="710" w:name="_Toc292559398"/>
      <w:bookmarkStart w:id="711" w:name="_Toc296347192"/>
      <w:bookmarkStart w:id="712" w:name="_Toc296891021"/>
      <w:bookmarkStart w:id="713" w:name="_Toc267251441"/>
      <w:bookmarkStart w:id="714" w:name="_Toc351203485"/>
      <w:r>
        <w:rPr>
          <w:rFonts w:hint="eastAsia" w:ascii="宋体" w:hAnsi="宋体" w:cs="宋体"/>
          <w:color w:val="auto"/>
          <w:sz w:val="24"/>
          <w:szCs w:val="24"/>
          <w:shd w:val="clear" w:color="auto" w:fill="FFFFFF"/>
        </w:rPr>
        <w:t>六、项目经理</w:t>
      </w:r>
    </w:p>
    <w:p>
      <w:pPr>
        <w:widowControl/>
        <w:shd w:val="clear" w:color="auto" w:fill="FFFFFF"/>
        <w:spacing w:line="360" w:lineRule="auto"/>
        <w:ind w:firstLine="480" w:firstLineChars="200"/>
        <w:rPr>
          <w:rFonts w:hint="eastAsia" w:ascii="宋体" w:hAnsi="宋体" w:cs="宋体"/>
          <w:color w:val="auto"/>
          <w:sz w:val="24"/>
        </w:rPr>
      </w:pPr>
      <w:r>
        <w:rPr>
          <w:rFonts w:hint="eastAsia" w:ascii="宋体" w:hAnsi="宋体" w:cs="宋体"/>
          <w:color w:val="auto"/>
          <w:kern w:val="0"/>
          <w:sz w:val="24"/>
          <w:shd w:val="clear" w:color="auto" w:fill="FFFFFF"/>
          <w:lang w:bidi="ar"/>
        </w:rPr>
        <w:t>承包人项目经理：</w:t>
      </w:r>
      <w:r>
        <w:rPr>
          <w:rFonts w:hint="eastAsia" w:ascii="宋体" w:hAnsi="宋体" w:cs="宋体"/>
          <w:color w:val="auto"/>
          <w:kern w:val="0"/>
          <w:sz w:val="24"/>
          <w:u w:val="single"/>
          <w:shd w:val="clear" w:color="auto" w:fill="FFFFFF"/>
          <w:lang w:bidi="ar"/>
        </w:rPr>
        <w:t> </w:t>
      </w:r>
      <w:r>
        <w:rPr>
          <w:rFonts w:hint="eastAsia" w:ascii="宋体" w:hAnsi="宋体" w:cs="宋体"/>
          <w:color w:val="auto"/>
          <w:kern w:val="0"/>
          <w:sz w:val="24"/>
          <w:u w:val="single"/>
          <w:shd w:val="clear" w:color="auto" w:fill="FFFFFF"/>
          <w:lang w:val="en-US" w:eastAsia="zh-CN" w:bidi="ar"/>
        </w:rPr>
        <w:t xml:space="preserve">        </w:t>
      </w:r>
      <w:r>
        <w:rPr>
          <w:rFonts w:hint="eastAsia" w:ascii="宋体" w:hAnsi="宋体" w:cs="宋体"/>
          <w:color w:val="auto"/>
          <w:kern w:val="0"/>
          <w:sz w:val="24"/>
          <w:u w:val="single"/>
          <w:shd w:val="clear" w:color="auto" w:fill="FFFFFF"/>
          <w:lang w:bidi="ar"/>
        </w:rPr>
        <w:t xml:space="preserve">  </w:t>
      </w:r>
      <w:r>
        <w:rPr>
          <w:rFonts w:hint="eastAsia" w:ascii="宋体" w:hAnsi="宋体" w:cs="宋体"/>
          <w:color w:val="auto"/>
          <w:kern w:val="0"/>
          <w:sz w:val="24"/>
          <w:shd w:val="clear" w:color="auto" w:fill="FFFFFF"/>
          <w:lang w:bidi="ar"/>
        </w:rPr>
        <w:t>，联系电话</w:t>
      </w:r>
      <w:r>
        <w:rPr>
          <w:rFonts w:hint="eastAsia" w:ascii="宋体" w:hAnsi="宋体" w:cs="宋体"/>
          <w:color w:val="auto"/>
          <w:kern w:val="0"/>
          <w:sz w:val="24"/>
          <w:u w:val="single"/>
          <w:shd w:val="clear" w:color="auto" w:fill="FFFFFF"/>
          <w:lang w:bidi="ar"/>
        </w:rPr>
        <w:t xml:space="preserve"> </w:t>
      </w:r>
      <w:r>
        <w:rPr>
          <w:rFonts w:hint="eastAsia" w:ascii="宋体" w:hAnsi="宋体" w:cs="宋体"/>
          <w:color w:val="auto"/>
          <w:kern w:val="0"/>
          <w:sz w:val="24"/>
          <w:u w:val="single"/>
          <w:shd w:val="clear" w:color="auto" w:fill="FFFFFF"/>
          <w:lang w:val="en-US" w:eastAsia="zh-CN" w:bidi="ar"/>
        </w:rPr>
        <w:t xml:space="preserve">             </w:t>
      </w:r>
      <w:r>
        <w:rPr>
          <w:rFonts w:hint="eastAsia" w:ascii="宋体" w:hAnsi="宋体" w:cs="宋体"/>
          <w:color w:val="auto"/>
          <w:kern w:val="0"/>
          <w:sz w:val="24"/>
          <w:u w:val="single"/>
          <w:shd w:val="clear" w:color="auto" w:fill="FFFFFF"/>
          <w:lang w:bidi="ar"/>
        </w:rPr>
        <w:t> </w:t>
      </w:r>
      <w:bookmarkStart w:id="715" w:name="_Toc351203486"/>
      <w:bookmarkEnd w:id="715"/>
      <w:r>
        <w:rPr>
          <w:rFonts w:hint="eastAsia" w:ascii="宋体" w:hAnsi="宋体" w:cs="宋体"/>
          <w:color w:val="auto"/>
          <w:kern w:val="0"/>
          <w:sz w:val="24"/>
          <w:shd w:val="clear" w:color="auto" w:fill="FFFFFF"/>
          <w:lang w:bidi="ar"/>
        </w:rPr>
        <w:t>。</w:t>
      </w:r>
    </w:p>
    <w:p>
      <w:pPr>
        <w:widowControl/>
        <w:shd w:val="clear" w:color="auto" w:fill="FFFFFF"/>
        <w:spacing w:line="360" w:lineRule="auto"/>
        <w:ind w:firstLine="470"/>
        <w:rPr>
          <w:rFonts w:hint="eastAsia" w:ascii="宋体" w:hAnsi="宋体" w:cs="宋体"/>
          <w:color w:val="auto"/>
          <w:sz w:val="24"/>
        </w:rPr>
      </w:pPr>
      <w:r>
        <w:rPr>
          <w:rFonts w:hint="eastAsia" w:ascii="宋体" w:hAnsi="宋体" w:cs="宋体"/>
          <w:b/>
          <w:bCs/>
          <w:color w:val="auto"/>
          <w:kern w:val="0"/>
          <w:sz w:val="24"/>
          <w:shd w:val="clear" w:color="auto" w:fill="FFFFFF"/>
          <w:lang w:bidi="ar"/>
        </w:rPr>
        <w:t>七、合同文件构成</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1、本协议书与下列文件一起构成合同文件：</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（1）中标（成交）通知书；</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（2）投标函及其附录；</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（3）专用合同条款及其附件；</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（4）通用合同条款；</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（5）技术标准和要求；</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（6）图纸；</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（7）已标价工程量清单或预算书；</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（8）其他合同文件。</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在合同订立及履行过程中形成的与合同有关的文件均构成合同文件组成部分。</w:t>
      </w:r>
    </w:p>
    <w:p>
      <w:pPr>
        <w:widowControl/>
        <w:shd w:val="clear" w:color="auto" w:fill="FFFFFF"/>
        <w:spacing w:line="360" w:lineRule="auto"/>
        <w:ind w:firstLine="480"/>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上述各项合同文件包括合同当事人就该项合同文件所作出的补充和修改，属于同一类内容的文件，应以最新签署的为准。专用合同条款及其附件须经合同当事人签字或盖章。</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2、合同文件的优先顺序</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合同文件组成及优先顺序为：</w:t>
      </w:r>
      <w:r>
        <w:rPr>
          <w:rFonts w:hint="eastAsia" w:ascii="宋体" w:hAnsi="宋体" w:cs="宋体"/>
          <w:color w:val="auto"/>
          <w:kern w:val="0"/>
          <w:sz w:val="24"/>
          <w:u w:val="single"/>
          <w:shd w:val="clear" w:color="auto" w:fill="FFFFFF"/>
          <w:lang w:bidi="ar"/>
        </w:rPr>
        <w:t>（1）合同协议书；（2）中标（成交）通知书；（3）投标函及其附录；（4）专用合同条款及其附件；（5）通用合同条款；（6）技术标准和要求；（7）已标价工程量清单或预算书；（8）图纸；（9）其他文件</w:t>
      </w:r>
      <w:r>
        <w:rPr>
          <w:rFonts w:hint="eastAsia" w:ascii="宋体" w:hAnsi="宋体" w:cs="宋体"/>
          <w:color w:val="auto"/>
          <w:kern w:val="0"/>
          <w:sz w:val="24"/>
          <w:shd w:val="clear" w:color="auto" w:fill="FFFFFF"/>
          <w:lang w:bidi="ar"/>
        </w:rPr>
        <w:t>。</w:t>
      </w:r>
    </w:p>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Pr>
        <w:pStyle w:val="6"/>
        <w:keepNext w:val="0"/>
        <w:keepLines w:val="0"/>
        <w:widowControl/>
        <w:shd w:val="clear" w:color="auto" w:fill="FFFFFF"/>
        <w:spacing w:before="0" w:after="0" w:line="360" w:lineRule="auto"/>
        <w:ind w:firstLine="482" w:firstLineChars="200"/>
        <w:jc w:val="left"/>
        <w:rPr>
          <w:rFonts w:hint="eastAsia" w:ascii="宋体" w:hAnsi="宋体" w:cs="宋体"/>
          <w:color w:val="auto"/>
          <w:sz w:val="24"/>
          <w:szCs w:val="24"/>
        </w:rPr>
      </w:pPr>
      <w:bookmarkStart w:id="716" w:name="_Toc267251442"/>
      <w:r>
        <w:rPr>
          <w:rFonts w:hint="eastAsia" w:ascii="宋体" w:hAnsi="宋体" w:cs="宋体"/>
          <w:color w:val="auto"/>
          <w:sz w:val="24"/>
          <w:szCs w:val="24"/>
        </w:rPr>
        <w:t>八、</w:t>
      </w:r>
      <w:r>
        <w:rPr>
          <w:rFonts w:hint="eastAsia" w:ascii="宋体" w:hAnsi="宋体" w:cs="宋体"/>
          <w:color w:val="auto"/>
          <w:sz w:val="24"/>
          <w:szCs w:val="24"/>
          <w:shd w:val="clear" w:color="auto" w:fill="FFFFFF"/>
        </w:rPr>
        <w:t>承诺</w:t>
      </w:r>
    </w:p>
    <w:p>
      <w:pPr>
        <w:widowControl/>
        <w:shd w:val="clear" w:color="auto" w:fill="FFFFFF"/>
        <w:spacing w:line="360" w:lineRule="auto"/>
        <w:ind w:firstLine="480"/>
        <w:rPr>
          <w:rFonts w:hint="eastAsia" w:ascii="宋体" w:hAnsi="宋体" w:cs="宋体"/>
          <w:color w:val="auto"/>
          <w:sz w:val="24"/>
        </w:rPr>
      </w:pPr>
      <w:r>
        <w:rPr>
          <w:rFonts w:hint="eastAsia" w:ascii="宋体" w:hAnsi="宋体" w:cs="宋体"/>
          <w:color w:val="auto"/>
          <w:kern w:val="0"/>
          <w:sz w:val="24"/>
          <w:shd w:val="clear" w:color="auto" w:fill="FFFFFF"/>
          <w:lang w:bidi="ar"/>
        </w:rPr>
        <w:t>1.发包人承诺按照法律规定履行项目审批手续、筹集工程建设资金并按照合同约定的期限和方式支付合同价款。</w:t>
      </w:r>
    </w:p>
    <w:p>
      <w:pPr>
        <w:widowControl/>
        <w:shd w:val="clear" w:color="auto" w:fill="FFFFFF"/>
        <w:spacing w:line="360" w:lineRule="auto"/>
        <w:ind w:firstLine="480"/>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2.承包人承诺按照法律规定及合同约定组织完成工程施工，确保工程质量和安全，不进行转包及违法分包，并在缺陷责任期及保修期内承担相应的工程维修责任。</w:t>
      </w:r>
    </w:p>
    <w:p>
      <w:pPr>
        <w:widowControl/>
        <w:shd w:val="clear" w:color="auto" w:fill="FFFFFF"/>
        <w:spacing w:line="360" w:lineRule="auto"/>
        <w:ind w:firstLine="480"/>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val="en-US" w:eastAsia="zh-CN" w:bidi="ar"/>
        </w:rPr>
        <w:t>3.承包人中标后</w:t>
      </w:r>
      <w:r>
        <w:rPr>
          <w:rFonts w:hint="eastAsia" w:ascii="宋体" w:hAnsi="宋体" w:eastAsia="宋体" w:cs="宋体"/>
          <w:color w:val="auto"/>
          <w:kern w:val="0"/>
          <w:sz w:val="24"/>
          <w:shd w:val="clear" w:color="auto" w:fill="FFFFFF"/>
          <w:lang w:bidi="ar"/>
        </w:rPr>
        <w:t>向</w:t>
      </w:r>
      <w:r>
        <w:rPr>
          <w:rFonts w:hint="eastAsia" w:ascii="宋体" w:hAnsi="宋体" w:eastAsia="宋体" w:cs="宋体"/>
          <w:color w:val="auto"/>
          <w:kern w:val="0"/>
          <w:sz w:val="24"/>
          <w:shd w:val="clear" w:color="auto" w:fill="FFFFFF"/>
          <w:lang w:val="en-US" w:eastAsia="zh-CN" w:bidi="ar"/>
        </w:rPr>
        <w:t>发包人</w:t>
      </w:r>
      <w:r>
        <w:rPr>
          <w:rFonts w:hint="eastAsia" w:ascii="宋体" w:hAnsi="宋体" w:eastAsia="宋体" w:cs="宋体"/>
          <w:color w:val="auto"/>
          <w:kern w:val="0"/>
          <w:sz w:val="24"/>
          <w:shd w:val="clear" w:color="auto" w:fill="FFFFFF"/>
          <w:lang w:bidi="ar"/>
        </w:rPr>
        <w:t>交纳履约保证金，履约保证金在项目验收合格后退还，不计息。</w:t>
      </w:r>
    </w:p>
    <w:p>
      <w:pPr>
        <w:widowControl/>
        <w:shd w:val="clear" w:color="auto" w:fill="FFFFFF"/>
        <w:spacing w:line="360" w:lineRule="auto"/>
        <w:ind w:firstLine="480"/>
        <w:rPr>
          <w:rFonts w:hint="eastAsia" w:ascii="宋体" w:hAnsi="宋体" w:eastAsia="宋体" w:cs="宋体"/>
          <w:color w:val="auto"/>
          <w:kern w:val="0"/>
          <w:sz w:val="24"/>
          <w:shd w:val="clear" w:color="auto" w:fill="FFFFFF"/>
          <w:lang w:bidi="ar"/>
        </w:rPr>
      </w:pPr>
      <w:bookmarkStart w:id="717" w:name="EBedac6fe6e2e143659c57d08c4a870cfe"/>
      <w:r>
        <w:rPr>
          <w:rFonts w:hint="eastAsia" w:ascii="宋体" w:hAnsi="宋体" w:eastAsia="宋体" w:cs="宋体"/>
          <w:color w:val="auto"/>
          <w:kern w:val="0"/>
          <w:sz w:val="24"/>
          <w:shd w:val="clear" w:color="auto" w:fill="FFFFFF"/>
          <w:lang w:bidi="ar"/>
        </w:rPr>
        <w:t xml:space="preserve">履约担保的形式：银行保函或专业担保公司担保。   </w:t>
      </w:r>
    </w:p>
    <w:p>
      <w:pPr>
        <w:widowControl/>
        <w:shd w:val="clear" w:color="auto" w:fill="FFFFFF"/>
        <w:spacing w:line="360" w:lineRule="auto"/>
        <w:ind w:firstLine="480"/>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履约担保的金额：合同金额的</w:t>
      </w:r>
      <w:r>
        <w:rPr>
          <w:rFonts w:hint="eastAsia" w:ascii="宋体" w:hAnsi="宋体" w:eastAsia="宋体" w:cs="宋体"/>
          <w:color w:val="auto"/>
          <w:kern w:val="0"/>
          <w:sz w:val="24"/>
          <w:shd w:val="clear" w:color="auto" w:fill="FFFFFF"/>
          <w:lang w:val="en-US" w:eastAsia="zh-CN" w:bidi="ar"/>
        </w:rPr>
        <w:t>5</w:t>
      </w:r>
      <w:r>
        <w:rPr>
          <w:rFonts w:hint="eastAsia" w:ascii="宋体" w:hAnsi="宋体" w:eastAsia="宋体" w:cs="宋体"/>
          <w:color w:val="auto"/>
          <w:kern w:val="0"/>
          <w:sz w:val="24"/>
          <w:shd w:val="clear" w:color="auto" w:fill="FFFFFF"/>
          <w:lang w:bidi="ar"/>
        </w:rPr>
        <w:t>%</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bidi="ar"/>
        </w:rPr>
        <w:t xml:space="preserve">   </w:t>
      </w:r>
    </w:p>
    <w:bookmarkEnd w:id="717"/>
    <w:p>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九、工程进度款支付</w:t>
      </w:r>
    </w:p>
    <w:p>
      <w:pPr>
        <w:spacing w:line="360" w:lineRule="auto"/>
        <w:ind w:firstLine="480" w:firstLineChars="200"/>
        <w:rPr>
          <w:rFonts w:hint="eastAsia" w:ascii="宋体" w:hAnsi="宋体" w:eastAsia="宋体" w:cs="宋体"/>
          <w:color w:val="auto"/>
          <w:kern w:val="0"/>
          <w:sz w:val="24"/>
          <w:shd w:val="clear" w:color="auto" w:fill="FFFFFF"/>
          <w:lang w:bidi="ar"/>
        </w:rPr>
      </w:pPr>
      <w:bookmarkStart w:id="718" w:name="_Toc296503211"/>
      <w:bookmarkStart w:id="719" w:name="_Toc300935006"/>
      <w:bookmarkStart w:id="720" w:name="_Toc296891039"/>
      <w:bookmarkStart w:id="721" w:name="_Toc297048397"/>
      <w:bookmarkStart w:id="722" w:name="_Toc297216215"/>
      <w:bookmarkStart w:id="723" w:name="_Toc292559921"/>
      <w:bookmarkStart w:id="724" w:name="_Toc296346712"/>
      <w:bookmarkStart w:id="725" w:name="_Toc297120511"/>
      <w:bookmarkStart w:id="726" w:name="_Toc297123556"/>
      <w:bookmarkStart w:id="727" w:name="_Toc296944550"/>
      <w:bookmarkStart w:id="728" w:name="_Toc296891251"/>
      <w:bookmarkStart w:id="729" w:name="_Toc292559416"/>
      <w:bookmarkStart w:id="730" w:name="_Toc303539163"/>
      <w:bookmarkStart w:id="731" w:name="_Toc296347210"/>
      <w:r>
        <w:rPr>
          <w:rFonts w:hint="eastAsia" w:ascii="宋体" w:hAnsi="宋体" w:cs="宋体"/>
          <w:bCs/>
          <w:color w:val="auto"/>
          <w:sz w:val="24"/>
        </w:rPr>
        <w:t>1. 付款周期</w:t>
      </w:r>
      <w:bookmarkEnd w:id="716"/>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Start w:id="732" w:name="_Toc297216224"/>
      <w:bookmarkStart w:id="733" w:name="_Toc297123565"/>
      <w:bookmarkStart w:id="734" w:name="_Toc296503223"/>
      <w:bookmarkStart w:id="735" w:name="_Toc296944562"/>
      <w:bookmarkStart w:id="736" w:name="_Toc312678056"/>
      <w:bookmarkStart w:id="737" w:name="_Toc304295596"/>
      <w:bookmarkStart w:id="738" w:name="_Toc296347222"/>
      <w:bookmarkStart w:id="739" w:name="_Toc296346724"/>
      <w:bookmarkStart w:id="740" w:name="_Toc297120523"/>
      <w:bookmarkStart w:id="741" w:name="_Toc296891051"/>
      <w:bookmarkStart w:id="742" w:name="_Toc297048409"/>
      <w:bookmarkStart w:id="743" w:name="_Toc300935016"/>
      <w:bookmarkStart w:id="744" w:name="_Toc296891263"/>
      <w:bookmarkStart w:id="745" w:name="_Toc292559428"/>
      <w:bookmarkStart w:id="746" w:name="_Toc292559933"/>
      <w:bookmarkStart w:id="747" w:name="_Toc303539173"/>
      <w:bookmarkStart w:id="748" w:name="_Toc267251475"/>
      <w:bookmarkStart w:id="749" w:name="_Toc267251473"/>
      <w:bookmarkStart w:id="750" w:name="_Toc267251470"/>
      <w:bookmarkStart w:id="751" w:name="_Toc267251471"/>
      <w:bookmarkStart w:id="752" w:name="_Toc267251472"/>
      <w:bookmarkStart w:id="753" w:name="_Toc267251476"/>
      <w:bookmarkStart w:id="754" w:name="_Toc267251474"/>
    </w:p>
    <w:p>
      <w:pPr>
        <w:widowControl/>
        <w:shd w:val="clear" w:color="auto" w:fill="FFFFFF"/>
        <w:spacing w:line="360" w:lineRule="auto"/>
        <w:ind w:firstLine="480"/>
        <w:rPr>
          <w:rFonts w:hint="eastAsia" w:ascii="宋体" w:hAnsi="宋体" w:eastAsia="宋体" w:cs="宋体"/>
          <w:color w:val="auto"/>
          <w:kern w:val="0"/>
          <w:sz w:val="24"/>
          <w:highlight w:val="yellow"/>
          <w:shd w:val="clear" w:color="auto" w:fill="FFFFFF"/>
          <w:lang w:bidi="ar"/>
        </w:rPr>
      </w:pPr>
      <w:r>
        <w:rPr>
          <w:rFonts w:hint="eastAsia" w:ascii="宋体" w:hAnsi="宋体" w:cs="宋体"/>
          <w:color w:val="auto"/>
          <w:kern w:val="0"/>
          <w:sz w:val="24"/>
          <w:highlight w:val="yellow"/>
          <w:shd w:val="clear" w:color="auto" w:fill="FFFFFF"/>
          <w:lang w:val="en-US" w:eastAsia="zh-CN" w:bidi="ar"/>
        </w:rPr>
        <w:t>1.</w:t>
      </w:r>
      <w:r>
        <w:rPr>
          <w:rFonts w:hint="eastAsia" w:ascii="宋体" w:hAnsi="宋体" w:eastAsia="宋体" w:cs="宋体"/>
          <w:color w:val="auto"/>
          <w:kern w:val="0"/>
          <w:sz w:val="24"/>
          <w:highlight w:val="yellow"/>
          <w:shd w:val="clear" w:color="auto" w:fill="FFFFFF"/>
          <w:lang w:bidi="ar"/>
        </w:rPr>
        <w:t>1合同签订后进场施工前支付至合同价的30%；</w:t>
      </w:r>
    </w:p>
    <w:p>
      <w:pPr>
        <w:widowControl/>
        <w:shd w:val="clear" w:color="auto" w:fill="FFFFFF"/>
        <w:spacing w:line="360" w:lineRule="auto"/>
        <w:ind w:firstLine="480"/>
        <w:rPr>
          <w:rFonts w:hint="eastAsia" w:ascii="宋体" w:hAnsi="宋体" w:eastAsia="宋体" w:cs="宋体"/>
          <w:color w:val="auto"/>
          <w:kern w:val="0"/>
          <w:sz w:val="24"/>
          <w:highlight w:val="yellow"/>
          <w:shd w:val="clear" w:color="auto" w:fill="FFFFFF"/>
          <w:lang w:bidi="ar"/>
        </w:rPr>
      </w:pPr>
      <w:r>
        <w:rPr>
          <w:rFonts w:hint="eastAsia" w:ascii="宋体" w:hAnsi="宋体" w:cs="宋体"/>
          <w:color w:val="auto"/>
          <w:kern w:val="0"/>
          <w:sz w:val="24"/>
          <w:highlight w:val="yellow"/>
          <w:shd w:val="clear" w:color="auto" w:fill="FFFFFF"/>
          <w:lang w:val="en-US" w:eastAsia="zh-CN" w:bidi="ar"/>
        </w:rPr>
        <w:t>1.</w:t>
      </w:r>
      <w:r>
        <w:rPr>
          <w:rFonts w:hint="eastAsia" w:ascii="宋体" w:hAnsi="宋体" w:eastAsia="宋体" w:cs="宋体"/>
          <w:color w:val="auto"/>
          <w:kern w:val="0"/>
          <w:sz w:val="24"/>
          <w:highlight w:val="yellow"/>
          <w:shd w:val="clear" w:color="auto" w:fill="FFFFFF"/>
          <w:lang w:bidi="ar"/>
        </w:rPr>
        <w:t xml:space="preserve">2工程完工经验收合格后支付至合同价的80%，由审计单位进行工程审计。 </w:t>
      </w:r>
    </w:p>
    <w:p>
      <w:pPr>
        <w:widowControl/>
        <w:shd w:val="clear" w:color="auto" w:fill="FFFFFF"/>
        <w:spacing w:line="360" w:lineRule="auto"/>
        <w:ind w:firstLine="480"/>
        <w:rPr>
          <w:rFonts w:hint="eastAsia" w:ascii="宋体" w:hAnsi="宋体" w:eastAsia="宋体" w:cs="宋体"/>
          <w:color w:val="auto"/>
          <w:kern w:val="0"/>
          <w:sz w:val="24"/>
          <w:highlight w:val="yellow"/>
          <w:shd w:val="clear" w:color="auto" w:fill="FFFFFF"/>
          <w:lang w:bidi="ar"/>
        </w:rPr>
      </w:pPr>
      <w:r>
        <w:rPr>
          <w:rFonts w:hint="eastAsia" w:ascii="宋体" w:hAnsi="宋体" w:cs="宋体"/>
          <w:color w:val="auto"/>
          <w:kern w:val="0"/>
          <w:sz w:val="24"/>
          <w:highlight w:val="yellow"/>
          <w:shd w:val="clear" w:color="auto" w:fill="FFFFFF"/>
          <w:lang w:val="en-US" w:eastAsia="zh-CN" w:bidi="ar"/>
        </w:rPr>
        <w:t>1.</w:t>
      </w:r>
      <w:r>
        <w:rPr>
          <w:rFonts w:hint="eastAsia" w:ascii="宋体" w:hAnsi="宋体" w:eastAsia="宋体" w:cs="宋体"/>
          <w:color w:val="auto"/>
          <w:kern w:val="0"/>
          <w:sz w:val="24"/>
          <w:highlight w:val="yellow"/>
          <w:shd w:val="clear" w:color="auto" w:fill="FFFFFF"/>
          <w:lang w:bidi="ar"/>
        </w:rPr>
        <w:t>3工程审计完成后付至审定价的97%，余款3%在2年质保期满后无息支付。</w:t>
      </w:r>
    </w:p>
    <w:p>
      <w:pPr>
        <w:widowControl/>
        <w:shd w:val="clear" w:color="auto" w:fill="FFFFFF"/>
        <w:spacing w:line="360" w:lineRule="auto"/>
        <w:ind w:firstLine="480"/>
        <w:rPr>
          <w:rFonts w:hint="eastAsia" w:ascii="宋体" w:hAnsi="宋体" w:eastAsia="宋体" w:cs="宋体"/>
          <w:color w:val="auto"/>
          <w:kern w:val="0"/>
          <w:sz w:val="24"/>
          <w:highlight w:val="yellow"/>
          <w:shd w:val="clear" w:color="auto" w:fill="FFFFFF"/>
          <w:lang w:bidi="ar"/>
        </w:rPr>
      </w:pPr>
      <w:r>
        <w:rPr>
          <w:rFonts w:hint="eastAsia" w:ascii="宋体" w:hAnsi="宋体" w:cs="宋体"/>
          <w:color w:val="auto"/>
          <w:kern w:val="0"/>
          <w:sz w:val="24"/>
          <w:highlight w:val="yellow"/>
          <w:shd w:val="clear" w:color="auto" w:fill="FFFFFF"/>
          <w:lang w:val="en-US" w:eastAsia="zh-CN" w:bidi="ar"/>
        </w:rPr>
        <w:t>1.</w:t>
      </w:r>
      <w:r>
        <w:rPr>
          <w:rFonts w:hint="eastAsia" w:ascii="宋体" w:hAnsi="宋体" w:eastAsia="宋体" w:cs="宋体"/>
          <w:color w:val="auto"/>
          <w:kern w:val="0"/>
          <w:sz w:val="24"/>
          <w:highlight w:val="yellow"/>
          <w:shd w:val="clear" w:color="auto" w:fill="FFFFFF"/>
          <w:lang w:bidi="ar"/>
        </w:rPr>
        <w:t>4工程价款结算最终以造价咨询机构出具的审计报告为准。</w:t>
      </w:r>
    </w:p>
    <w:p>
      <w:pPr>
        <w:widowControl/>
        <w:shd w:val="clear" w:color="auto" w:fill="FFFFFF"/>
        <w:spacing w:line="360" w:lineRule="auto"/>
        <w:ind w:firstLine="480"/>
        <w:rPr>
          <w:rFonts w:hint="eastAsia" w:ascii="宋体" w:hAnsi="宋体" w:eastAsia="宋体" w:cs="宋体"/>
          <w:color w:val="auto"/>
          <w:kern w:val="0"/>
          <w:sz w:val="24"/>
          <w:highlight w:val="yellow"/>
          <w:shd w:val="clear" w:color="auto" w:fill="FFFFFF"/>
          <w:lang w:bidi="ar"/>
        </w:rPr>
      </w:pPr>
      <w:r>
        <w:rPr>
          <w:rFonts w:hint="eastAsia" w:ascii="宋体" w:hAnsi="宋体" w:cs="宋体"/>
          <w:color w:val="auto"/>
          <w:kern w:val="0"/>
          <w:sz w:val="24"/>
          <w:highlight w:val="yellow"/>
          <w:shd w:val="clear" w:color="auto" w:fill="FFFFFF"/>
          <w:lang w:val="en-US" w:eastAsia="zh-CN" w:bidi="ar"/>
        </w:rPr>
        <w:t>1.5</w:t>
      </w:r>
      <w:r>
        <w:rPr>
          <w:rFonts w:hint="eastAsia" w:ascii="宋体" w:hAnsi="宋体" w:eastAsia="宋体" w:cs="宋体"/>
          <w:color w:val="auto"/>
          <w:kern w:val="0"/>
          <w:sz w:val="24"/>
          <w:highlight w:val="yellow"/>
          <w:shd w:val="clear" w:color="auto" w:fill="FFFFFF"/>
          <w:lang w:bidi="ar"/>
        </w:rPr>
        <w:t>核减率小于6%，审计费由</w:t>
      </w:r>
      <w:r>
        <w:rPr>
          <w:rFonts w:hint="eastAsia" w:ascii="宋体" w:hAnsi="宋体" w:cs="宋体"/>
          <w:color w:val="auto"/>
          <w:kern w:val="0"/>
          <w:sz w:val="24"/>
          <w:highlight w:val="yellow"/>
          <w:shd w:val="clear" w:color="auto" w:fill="FFFFFF"/>
          <w:lang w:val="en-US" w:eastAsia="zh-CN" w:bidi="ar"/>
        </w:rPr>
        <w:t>发包人</w:t>
      </w:r>
      <w:r>
        <w:rPr>
          <w:rFonts w:hint="eastAsia" w:ascii="宋体" w:hAnsi="宋体" w:eastAsia="宋体" w:cs="宋体"/>
          <w:color w:val="auto"/>
          <w:kern w:val="0"/>
          <w:sz w:val="24"/>
          <w:highlight w:val="yellow"/>
          <w:shd w:val="clear" w:color="auto" w:fill="FFFFFF"/>
          <w:lang w:bidi="ar"/>
        </w:rPr>
        <w:t>承担，核减率大于等于6%，审计费全部由</w:t>
      </w:r>
      <w:r>
        <w:rPr>
          <w:rFonts w:hint="eastAsia" w:ascii="宋体" w:hAnsi="宋体" w:cs="宋体"/>
          <w:color w:val="auto"/>
          <w:kern w:val="0"/>
          <w:sz w:val="24"/>
          <w:highlight w:val="yellow"/>
          <w:shd w:val="clear" w:color="auto" w:fill="FFFFFF"/>
          <w:lang w:val="en-US" w:eastAsia="zh-CN" w:bidi="ar"/>
        </w:rPr>
        <w:t>承包人</w:t>
      </w:r>
      <w:r>
        <w:rPr>
          <w:rFonts w:hint="eastAsia" w:ascii="宋体" w:hAnsi="宋体" w:eastAsia="宋体" w:cs="宋体"/>
          <w:color w:val="auto"/>
          <w:kern w:val="0"/>
          <w:sz w:val="24"/>
          <w:highlight w:val="yellow"/>
          <w:shd w:val="clear" w:color="auto" w:fill="FFFFFF"/>
          <w:lang w:bidi="ar"/>
        </w:rPr>
        <w:t>承担。</w:t>
      </w:r>
    </w:p>
    <w:p>
      <w:pPr>
        <w:widowControl/>
        <w:shd w:val="clear" w:color="auto" w:fill="FFFFFF"/>
        <w:spacing w:line="360" w:lineRule="auto"/>
        <w:ind w:firstLine="480"/>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2. 竣工验收</w:t>
      </w:r>
    </w:p>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Pr>
        <w:widowControl/>
        <w:shd w:val="clear" w:color="auto" w:fill="FFFFFF"/>
        <w:spacing w:line="360" w:lineRule="auto"/>
        <w:ind w:firstLine="480"/>
        <w:rPr>
          <w:rFonts w:hint="eastAsia" w:ascii="宋体" w:hAnsi="宋体" w:eastAsia="宋体" w:cs="宋体"/>
          <w:color w:val="auto"/>
          <w:kern w:val="0"/>
          <w:sz w:val="24"/>
          <w:shd w:val="clear" w:color="auto" w:fill="FFFFFF"/>
          <w:lang w:bidi="ar"/>
        </w:rPr>
      </w:pPr>
      <w:bookmarkStart w:id="755" w:name="_Toc280868704"/>
      <w:bookmarkStart w:id="756" w:name="_Toc280868705"/>
      <w:bookmarkStart w:id="757" w:name="_Toc280868706"/>
      <w:bookmarkStart w:id="758" w:name="_Toc280868707"/>
      <w:bookmarkStart w:id="759" w:name="_Toc280868708"/>
      <w:bookmarkStart w:id="760" w:name="_Toc280868709"/>
      <w:r>
        <w:rPr>
          <w:rFonts w:hint="eastAsia" w:ascii="宋体" w:hAnsi="宋体" w:eastAsia="宋体" w:cs="宋体"/>
          <w:color w:val="auto"/>
          <w:kern w:val="0"/>
          <w:sz w:val="24"/>
          <w:shd w:val="clear" w:color="auto" w:fill="FFFFFF"/>
          <w:lang w:bidi="ar"/>
        </w:rPr>
        <w:t>2.1竣工验收程序</w:t>
      </w:r>
    </w:p>
    <w:bookmarkEnd w:id="755"/>
    <w:p>
      <w:pPr>
        <w:widowControl/>
        <w:shd w:val="clear" w:color="auto" w:fill="FFFFFF"/>
        <w:spacing w:line="360" w:lineRule="auto"/>
        <w:ind w:firstLine="480"/>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关于竣工验收程序的约定：承包人完成合同范围内所有项目并自检合格后，按程序向发包人或监理人申请竣工验收，发包人在规定时间内组织相关人员进行验收，并出具竣工验收证明文件。</w:t>
      </w:r>
    </w:p>
    <w:bookmarkEnd w:id="756"/>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2.2移交、接收全部与部分工程</w:t>
      </w:r>
    </w:p>
    <w:bookmarkEnd w:id="757"/>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承包人向发包人移交工程的期限：颁发工程竣工验收证明后【7】天内完成。</w:t>
      </w:r>
    </w:p>
    <w:bookmarkEnd w:id="758"/>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承包人未按时移交工程的，违约金的计算方法为：每逾期1天，每天按照签约合同价的2‰支付违约金，发包人有权采取任何补救措施来弥补该延误，由此增加的费用由承包人承担。</w:t>
      </w:r>
      <w:bookmarkEnd w:id="748"/>
      <w:bookmarkEnd w:id="749"/>
      <w:bookmarkEnd w:id="750"/>
      <w:bookmarkEnd w:id="751"/>
      <w:bookmarkEnd w:id="752"/>
      <w:bookmarkEnd w:id="753"/>
      <w:bookmarkEnd w:id="754"/>
      <w:bookmarkEnd w:id="759"/>
      <w:bookmarkEnd w:id="760"/>
      <w:bookmarkStart w:id="761" w:name="_Toc351203647"/>
      <w:bookmarkStart w:id="762" w:name="_Toc267251483"/>
      <w:bookmarkStart w:id="763" w:name="_Toc267251484"/>
      <w:bookmarkStart w:id="764" w:name="_Toc267251482"/>
      <w:bookmarkStart w:id="765" w:name="_Toc267251485"/>
      <w:bookmarkStart w:id="766" w:name="_Toc267251490"/>
      <w:bookmarkStart w:id="767" w:name="_Toc267251489"/>
      <w:bookmarkStart w:id="768" w:name="_Toc267251488"/>
      <w:bookmarkStart w:id="769" w:name="_Toc267251486"/>
      <w:bookmarkStart w:id="770" w:name="_Toc267251496"/>
      <w:bookmarkStart w:id="771" w:name="_Toc267251499"/>
      <w:bookmarkStart w:id="772" w:name="_Toc267251491"/>
      <w:bookmarkStart w:id="773" w:name="_Toc267251494"/>
      <w:bookmarkStart w:id="774" w:name="_Toc267251495"/>
      <w:bookmarkStart w:id="775" w:name="_Toc267251503"/>
      <w:bookmarkStart w:id="776" w:name="_Toc267251492"/>
      <w:bookmarkStart w:id="777" w:name="_Toc267251493"/>
      <w:bookmarkStart w:id="778" w:name="_Toc267251498"/>
      <w:bookmarkStart w:id="779" w:name="_Toc267251497"/>
      <w:bookmarkStart w:id="780" w:name="_Toc267251501"/>
      <w:bookmarkStart w:id="781" w:name="_Toc267251502"/>
      <w:bookmarkStart w:id="782" w:name="_Toc267251507"/>
      <w:bookmarkStart w:id="783" w:name="_Toc267251504"/>
      <w:bookmarkStart w:id="784" w:name="_Toc267251508"/>
      <w:bookmarkStart w:id="785" w:name="_Toc267251506"/>
      <w:bookmarkStart w:id="786" w:name="_Toc267251509"/>
      <w:bookmarkStart w:id="787" w:name="_Toc267251515"/>
      <w:bookmarkStart w:id="788" w:name="_Toc267251513"/>
      <w:bookmarkStart w:id="789" w:name="_Toc267251514"/>
      <w:bookmarkStart w:id="790" w:name="_Toc267251511"/>
      <w:bookmarkStart w:id="791" w:name="_Toc267251510"/>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 竣工结算审计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3.1 发包人委托有资质的造价咨询机构对竣工结算进行审计，出具竣工结算审核定案表及审定结算书，经发承包双方一致认可后确定结算价；承包人在收到造价咨询机构竣工结算审核定案表及审定结算书后，5个工作日内未提出书面异议（仅答复不认可结算审核结果，但未说明偏差原因的，视为未答复），视同认可审计结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3.2 审计费用承担：核减率小于6%，审计费用由发包人承担；核减率大于或等于6%，则审计费用由承包人承担。审计费收费标准按发包人委托中介机构审计的协议执行。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3.3 付款前，承包人应当提供能满足发包人财务要求的等额发票，未提供则发包人有权拒付相应款项。</w:t>
      </w:r>
    </w:p>
    <w:p>
      <w:pPr>
        <w:pStyle w:val="6"/>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4.缺陷责任期与保修</w:t>
      </w:r>
      <w:bookmarkEnd w:id="761"/>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4.1缺陷责任期</w:t>
      </w:r>
      <w:bookmarkEnd w:id="762"/>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缺陷责任期的具体期限：</w:t>
      </w:r>
      <w:r>
        <w:rPr>
          <w:rFonts w:hint="eastAsia" w:ascii="宋体" w:hAnsi="宋体" w:cs="宋体"/>
          <w:b/>
          <w:bCs/>
          <w:color w:val="auto"/>
          <w:sz w:val="24"/>
          <w:u w:val="single"/>
        </w:rPr>
        <w:t>自竣工验收之日起24个月</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4.2质量保证金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关于是否扣留质量保证金的约定：</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扣留</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4.3 承包人提供质量保证金的方式</w:t>
      </w:r>
    </w:p>
    <w:p>
      <w:pPr>
        <w:spacing w:line="360" w:lineRule="auto"/>
        <w:ind w:firstLine="480" w:firstLineChars="200"/>
        <w:rPr>
          <w:rFonts w:hint="eastAsia" w:ascii="宋体" w:hAnsi="宋体" w:cs="宋体"/>
          <w:color w:val="auto"/>
          <w:sz w:val="24"/>
        </w:rPr>
      </w:pPr>
      <w:r>
        <w:rPr>
          <w:rFonts w:hint="eastAsia" w:ascii="宋体" w:hAnsi="宋体" w:cs="宋体"/>
          <w:color w:val="auto"/>
          <w:kern w:val="0"/>
          <w:sz w:val="24"/>
        </w:rPr>
        <w:t>工程竣工结算时一次性扣留工程结算审计价款的</w:t>
      </w:r>
      <w:r>
        <w:rPr>
          <w:rFonts w:hint="eastAsia" w:ascii="宋体" w:hAnsi="宋体" w:cs="宋体"/>
          <w:color w:val="auto"/>
          <w:kern w:val="0"/>
          <w:sz w:val="24"/>
          <w:u w:val="single"/>
        </w:rPr>
        <w:t xml:space="preserve">  3   </w:t>
      </w:r>
      <w:r>
        <w:rPr>
          <w:rFonts w:hint="eastAsia" w:ascii="宋体" w:hAnsi="宋体" w:cs="宋体"/>
          <w:color w:val="auto"/>
          <w:kern w:val="0"/>
          <w:sz w:val="24"/>
        </w:rPr>
        <w:t>%作为质量保证金</w:t>
      </w:r>
      <w:bookmarkEnd w:id="763"/>
      <w:bookmarkEnd w:id="764"/>
      <w:r>
        <w:rPr>
          <w:rFonts w:hint="eastAsia" w:ascii="宋体" w:hAnsi="宋体" w:cs="宋体"/>
          <w:color w:val="auto"/>
          <w:kern w:val="0"/>
          <w:sz w:val="24"/>
        </w:rPr>
        <w:t>，缺陷责任期满后【</w:t>
      </w:r>
      <w:r>
        <w:rPr>
          <w:rFonts w:hint="eastAsia" w:ascii="宋体" w:hAnsi="宋体" w:cs="宋体"/>
          <w:color w:val="auto"/>
          <w:kern w:val="0"/>
          <w:sz w:val="24"/>
          <w:lang w:val="en-US" w:eastAsia="zh-CN"/>
        </w:rPr>
        <w:t xml:space="preserve"> 30 </w:t>
      </w:r>
      <w:r>
        <w:rPr>
          <w:rFonts w:hint="eastAsia" w:ascii="宋体" w:hAnsi="宋体" w:cs="宋体"/>
          <w:color w:val="auto"/>
          <w:kern w:val="0"/>
          <w:sz w:val="24"/>
        </w:rPr>
        <w:t>】日内付清（质量保证金不计利息，并扣除发包人自行维修的费用）。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4.4保修</w:t>
      </w:r>
    </w:p>
    <w:bookmarkEnd w:id="765"/>
    <w:p>
      <w:pPr>
        <w:spacing w:line="360" w:lineRule="auto"/>
        <w:ind w:firstLine="480" w:firstLineChars="200"/>
        <w:rPr>
          <w:rFonts w:hint="eastAsia" w:ascii="宋体" w:hAnsi="宋体" w:cs="宋体"/>
          <w:color w:val="auto"/>
          <w:kern w:val="0"/>
          <w:sz w:val="24"/>
        </w:rPr>
      </w:pPr>
      <w:r>
        <w:rPr>
          <w:rFonts w:hint="eastAsia" w:ascii="宋体" w:hAnsi="宋体" w:cs="宋体"/>
          <w:color w:val="auto"/>
          <w:sz w:val="24"/>
        </w:rPr>
        <w:t>工程保修期为：</w:t>
      </w:r>
      <w:r>
        <w:rPr>
          <w:rFonts w:hint="eastAsia" w:ascii="宋体" w:hAnsi="宋体" w:cs="宋体"/>
          <w:color w:val="auto"/>
          <w:kern w:val="0"/>
          <w:sz w:val="24"/>
          <w:u w:val="single"/>
        </w:rPr>
        <w:t xml:space="preserve">  见工程质量保修书   </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4.5 修复通知</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承包人收到保修通知并到达工程现场的合理时间：</w:t>
      </w:r>
      <w:r>
        <w:rPr>
          <w:rFonts w:hint="eastAsia" w:ascii="宋体" w:hAnsi="宋体" w:cs="宋体"/>
          <w:color w:val="auto"/>
          <w:kern w:val="0"/>
          <w:sz w:val="24"/>
          <w:u w:val="single"/>
        </w:rPr>
        <w:t>接到发包人通知后48小时内到达工程现场并完成修复，承办人拒绝维修或未按约定到底指定地点或未按约定时间完成修复的，发包人有权委托第三方进行维修，由此产生的费用发包人有权向承包人主张。</w:t>
      </w:r>
    </w:p>
    <w:bookmarkEnd w:id="766"/>
    <w:bookmarkEnd w:id="767"/>
    <w:bookmarkEnd w:id="768"/>
    <w:bookmarkEnd w:id="769"/>
    <w:p>
      <w:pPr>
        <w:pStyle w:val="6"/>
        <w:spacing w:before="0" w:after="0" w:line="360" w:lineRule="auto"/>
        <w:ind w:firstLine="482" w:firstLineChars="200"/>
        <w:rPr>
          <w:rFonts w:hint="eastAsia" w:ascii="宋体" w:hAnsi="宋体" w:cs="宋体"/>
          <w:color w:val="auto"/>
          <w:sz w:val="24"/>
          <w:szCs w:val="24"/>
        </w:rPr>
      </w:pPr>
      <w:bookmarkStart w:id="792" w:name="_Toc351203650"/>
      <w:bookmarkStart w:id="793" w:name="_Toc280868718"/>
      <w:r>
        <w:rPr>
          <w:rFonts w:hint="eastAsia" w:ascii="宋体" w:hAnsi="宋体" w:cs="宋体"/>
          <w:color w:val="auto"/>
          <w:sz w:val="24"/>
          <w:szCs w:val="24"/>
        </w:rPr>
        <w:t>十、 保险</w:t>
      </w:r>
      <w:bookmarkEnd w:id="792"/>
    </w:p>
    <w:bookmarkEnd w:id="793"/>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1.工程保险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关于工程保险的特别约定：</w:t>
      </w:r>
      <w:r>
        <w:rPr>
          <w:rFonts w:hint="eastAsia" w:ascii="宋体" w:hAnsi="宋体" w:cs="宋体"/>
          <w:color w:val="auto"/>
          <w:kern w:val="0"/>
          <w:sz w:val="24"/>
          <w:u w:val="single"/>
        </w:rPr>
        <w:t xml:space="preserve">  承包人必须按照工程所在地相关规定要求执行，并承担保险费用。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2.其他保险</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sz w:val="24"/>
        </w:rPr>
        <w:t>关于其他保险的约定：</w:t>
      </w:r>
      <w:r>
        <w:rPr>
          <w:rFonts w:hint="eastAsia" w:ascii="宋体" w:hAnsi="宋体" w:cs="宋体"/>
          <w:color w:val="auto"/>
          <w:kern w:val="0"/>
          <w:sz w:val="24"/>
          <w:u w:val="single"/>
        </w:rPr>
        <w:t>承包人必须为施工场地内员工办理意外伤害保险，并缴纳保险费。</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承包人是否应为其施工设备等办理财产保险：</w:t>
      </w:r>
      <w:r>
        <w:rPr>
          <w:rFonts w:hint="eastAsia" w:ascii="宋体" w:hAnsi="宋体" w:cs="宋体"/>
          <w:color w:val="auto"/>
          <w:sz w:val="24"/>
          <w:u w:val="single"/>
        </w:rPr>
        <w:t xml:space="preserve">   </w:t>
      </w:r>
      <w:r>
        <w:rPr>
          <w:rFonts w:hint="eastAsia" w:ascii="宋体" w:hAnsi="宋体" w:cs="宋体"/>
          <w:color w:val="auto"/>
          <w:kern w:val="0"/>
          <w:sz w:val="24"/>
          <w:u w:val="single"/>
        </w:rPr>
        <w:t>是</w:t>
      </w:r>
      <w:r>
        <w:rPr>
          <w:rFonts w:hint="eastAsia" w:ascii="宋体" w:hAnsi="宋体" w:cs="宋体"/>
          <w:color w:val="auto"/>
          <w:sz w:val="24"/>
          <w:u w:val="single"/>
        </w:rPr>
        <w:t xml:space="preserve">        </w:t>
      </w:r>
      <w:r>
        <w:rPr>
          <w:rFonts w:hint="eastAsia" w:ascii="宋体" w:hAnsi="宋体" w:cs="宋体"/>
          <w:color w:val="auto"/>
          <w:sz w:val="24"/>
        </w:rPr>
        <w:t>。</w:t>
      </w:r>
    </w:p>
    <w:bookmarkEnd w:id="770"/>
    <w:bookmarkEnd w:id="771"/>
    <w:bookmarkEnd w:id="772"/>
    <w:bookmarkEnd w:id="773"/>
    <w:bookmarkEnd w:id="774"/>
    <w:bookmarkEnd w:id="775"/>
    <w:bookmarkEnd w:id="776"/>
    <w:bookmarkEnd w:id="777"/>
    <w:bookmarkEnd w:id="778"/>
    <w:bookmarkEnd w:id="779"/>
    <w:bookmarkEnd w:id="780"/>
    <w:bookmarkEnd w:id="781"/>
    <w:p>
      <w:pPr>
        <w:pStyle w:val="6"/>
        <w:spacing w:before="0" w:after="0" w:line="360" w:lineRule="auto"/>
        <w:ind w:firstLine="482" w:firstLineChars="200"/>
        <w:rPr>
          <w:rFonts w:hint="eastAsia" w:ascii="宋体" w:hAnsi="宋体" w:cs="宋体"/>
          <w:color w:val="auto"/>
          <w:sz w:val="24"/>
          <w:szCs w:val="24"/>
        </w:rPr>
      </w:pPr>
      <w:bookmarkStart w:id="794" w:name="_Toc351203651"/>
      <w:r>
        <w:rPr>
          <w:rFonts w:hint="eastAsia" w:ascii="宋体" w:hAnsi="宋体" w:cs="宋体"/>
          <w:color w:val="auto"/>
          <w:sz w:val="24"/>
          <w:szCs w:val="24"/>
        </w:rPr>
        <w:t>十一、违约责任</w:t>
      </w:r>
    </w:p>
    <w:p>
      <w:pPr>
        <w:pStyle w:val="6"/>
        <w:spacing w:before="0" w:after="0" w:line="360" w:lineRule="auto"/>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1.任何一方未履行本合同各项的任何一项条款均被视为违约。违约方应承担因此给守约方造成的损失。</w:t>
      </w:r>
    </w:p>
    <w:p>
      <w:pPr>
        <w:widowControl/>
        <w:shd w:val="clear" w:color="auto" w:fill="FFFFFF"/>
        <w:spacing w:line="360" w:lineRule="auto"/>
        <w:ind w:firstLine="480"/>
        <w:rPr>
          <w:rFonts w:hint="eastAsia" w:ascii="宋体" w:hAnsi="宋体" w:eastAsia="宋体" w:cs="宋体"/>
          <w:color w:val="auto"/>
          <w:kern w:val="0"/>
          <w:sz w:val="24"/>
          <w:shd w:val="clear" w:color="auto" w:fill="FFFFFF"/>
          <w:lang w:bidi="ar"/>
        </w:rPr>
      </w:pPr>
      <w:r>
        <w:rPr>
          <w:rFonts w:hint="eastAsia" w:ascii="宋体" w:hAnsi="宋体" w:cs="宋体"/>
          <w:color w:val="auto"/>
          <w:sz w:val="24"/>
        </w:rPr>
        <w:t>2.</w:t>
      </w:r>
      <w:r>
        <w:rPr>
          <w:rFonts w:hint="eastAsia" w:ascii="宋体" w:hAnsi="宋体" w:eastAsia="宋体" w:cs="宋体"/>
          <w:color w:val="auto"/>
          <w:kern w:val="0"/>
          <w:sz w:val="24"/>
          <w:shd w:val="clear" w:color="auto" w:fill="FFFFFF"/>
          <w:lang w:bidi="ar"/>
        </w:rPr>
        <w:t>承包人应遵守总工期以及相关关键节点进度要求，服从发包人进度控制管理要求，完成施工。因承包人原因（不可抗力除外）造成工期延误，每延误一天处罚金为</w:t>
      </w:r>
      <w:r>
        <w:rPr>
          <w:rFonts w:hint="eastAsia" w:ascii="宋体" w:hAnsi="宋体" w:cs="宋体"/>
          <w:color w:val="auto"/>
          <w:kern w:val="0"/>
          <w:sz w:val="24"/>
        </w:rPr>
        <w:t>签约</w:t>
      </w:r>
      <w:r>
        <w:rPr>
          <w:rFonts w:hint="eastAsia" w:ascii="宋体" w:hAnsi="宋体" w:cs="宋体"/>
          <w:color w:val="auto"/>
          <w:kern w:val="0"/>
          <w:sz w:val="24"/>
          <w:shd w:val="clear" w:color="auto" w:fill="FFFFFF"/>
          <w:lang w:eastAsia="zh-CN" w:bidi="ar"/>
        </w:rPr>
        <w:t>合同价</w:t>
      </w:r>
      <w:r>
        <w:rPr>
          <w:rFonts w:hint="eastAsia" w:ascii="宋体" w:hAnsi="宋体" w:eastAsia="宋体" w:cs="宋体"/>
          <w:color w:val="auto"/>
          <w:kern w:val="0"/>
          <w:sz w:val="24"/>
          <w:shd w:val="clear" w:color="auto" w:fill="FFFFFF"/>
          <w:lang w:bidi="ar"/>
        </w:rPr>
        <w:t xml:space="preserve">的2‰，并按天数累计。且发包人有权采取任何补救措施来弥补该延误，由此增加的费用由承包人承担。逾期超过30天，发包人有权解除合同，因此产生的一切损失和费用由承包人承担。 </w:t>
      </w:r>
    </w:p>
    <w:p>
      <w:pPr>
        <w:pStyle w:val="6"/>
        <w:spacing w:before="0" w:after="0" w:line="360" w:lineRule="auto"/>
        <w:ind w:firstLine="482" w:firstLineChars="200"/>
        <w:rPr>
          <w:rFonts w:hint="eastAsia" w:ascii="宋体" w:hAnsi="宋体" w:cs="宋体"/>
          <w:color w:val="auto"/>
          <w:sz w:val="24"/>
          <w:szCs w:val="24"/>
        </w:rPr>
      </w:pPr>
      <w:r>
        <w:rPr>
          <w:rFonts w:hint="eastAsia" w:ascii="宋体" w:hAnsi="宋体" w:cs="宋体"/>
          <w:color w:val="auto"/>
          <w:sz w:val="24"/>
          <w:szCs w:val="24"/>
        </w:rPr>
        <w:t>十二、争议解决</w:t>
      </w:r>
      <w:bookmarkEnd w:id="794"/>
    </w:p>
    <w:bookmarkEnd w:id="782"/>
    <w:bookmarkEnd w:id="783"/>
    <w:bookmarkEnd w:id="784"/>
    <w:bookmarkEnd w:id="785"/>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因合同及合同有关事项发生的争议，按下列第</w:t>
      </w:r>
      <w:r>
        <w:rPr>
          <w:rFonts w:hint="eastAsia" w:ascii="宋体" w:hAnsi="宋体" w:cs="宋体"/>
          <w:color w:val="auto"/>
          <w:sz w:val="24"/>
          <w:u w:val="single"/>
        </w:rPr>
        <w:t xml:space="preserve">   （2）  </w:t>
      </w:r>
      <w:r>
        <w:rPr>
          <w:rFonts w:hint="eastAsia" w:ascii="宋体" w:hAnsi="宋体" w:cs="宋体"/>
          <w:color w:val="auto"/>
          <w:sz w:val="24"/>
        </w:rPr>
        <w:t>种方式解决：</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（1）向</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仲裁委员会申请仲裁；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（2）向</w:t>
      </w:r>
      <w:r>
        <w:rPr>
          <w:rFonts w:hint="eastAsia" w:ascii="宋体" w:hAnsi="宋体" w:cs="宋体"/>
          <w:color w:val="auto"/>
          <w:sz w:val="24"/>
          <w:u w:val="single"/>
        </w:rPr>
        <w:t xml:space="preserve">  工程所在地 </w:t>
      </w:r>
      <w:r>
        <w:rPr>
          <w:rFonts w:hint="eastAsia" w:ascii="宋体" w:hAnsi="宋体" w:cs="宋体"/>
          <w:color w:val="auto"/>
          <w:sz w:val="24"/>
        </w:rPr>
        <w:t>人民法院起诉。</w:t>
      </w:r>
      <w:bookmarkEnd w:id="714"/>
      <w:bookmarkEnd w:id="786"/>
      <w:bookmarkEnd w:id="787"/>
      <w:bookmarkEnd w:id="788"/>
      <w:bookmarkEnd w:id="789"/>
      <w:bookmarkEnd w:id="790"/>
      <w:bookmarkEnd w:id="791"/>
      <w:bookmarkStart w:id="795" w:name="_Toc351203489"/>
    </w:p>
    <w:p>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十三、签订时间</w:t>
      </w:r>
      <w:bookmarkEnd w:id="795"/>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本合同于</w:t>
      </w:r>
      <w:r>
        <w:rPr>
          <w:rFonts w:hint="eastAsia" w:ascii="宋体" w:hAnsi="宋体" w:cs="宋体"/>
          <w:bCs/>
          <w:color w:val="auto"/>
          <w:sz w:val="24"/>
          <w:u w:val="single"/>
        </w:rPr>
        <w:t xml:space="preserve">    </w:t>
      </w:r>
      <w:r>
        <w:rPr>
          <w:rFonts w:hint="eastAsia" w:ascii="宋体" w:hAnsi="宋体" w:cs="宋体"/>
          <w:bCs/>
          <w:color w:val="auto"/>
          <w:sz w:val="24"/>
          <w:u w:val="single"/>
          <w:lang w:val="en-US" w:eastAsia="zh-CN"/>
        </w:rPr>
        <w:t xml:space="preserve"> </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u w:val="single"/>
          <w:lang w:val="en-US" w:eastAsia="zh-CN"/>
        </w:rPr>
        <w:t xml:space="preserve"> </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u w:val="single"/>
          <w:lang w:val="en-US" w:eastAsia="zh-CN"/>
        </w:rPr>
        <w:t xml:space="preserve"> </w:t>
      </w:r>
      <w:r>
        <w:rPr>
          <w:rFonts w:hint="eastAsia" w:ascii="宋体" w:hAnsi="宋体" w:cs="宋体"/>
          <w:bCs/>
          <w:color w:val="auto"/>
          <w:sz w:val="24"/>
          <w:u w:val="single"/>
        </w:rPr>
        <w:t xml:space="preserve">  </w:t>
      </w:r>
      <w:r>
        <w:rPr>
          <w:rFonts w:hint="eastAsia" w:ascii="宋体" w:hAnsi="宋体" w:cs="宋体"/>
          <w:bCs/>
          <w:color w:val="auto"/>
          <w:sz w:val="24"/>
        </w:rPr>
        <w:t>日签订。</w:t>
      </w:r>
    </w:p>
    <w:p>
      <w:pPr>
        <w:pStyle w:val="6"/>
        <w:spacing w:before="0" w:after="0" w:line="360" w:lineRule="auto"/>
        <w:ind w:firstLine="482" w:firstLineChars="200"/>
        <w:rPr>
          <w:rFonts w:hint="eastAsia" w:ascii="宋体" w:hAnsi="宋体" w:cs="宋体"/>
          <w:color w:val="auto"/>
          <w:sz w:val="24"/>
          <w:szCs w:val="24"/>
        </w:rPr>
      </w:pPr>
      <w:bookmarkStart w:id="796" w:name="_Toc351203490"/>
      <w:r>
        <w:rPr>
          <w:rFonts w:hint="eastAsia" w:ascii="宋体" w:hAnsi="宋体" w:cs="宋体"/>
          <w:color w:val="auto"/>
          <w:sz w:val="24"/>
          <w:szCs w:val="24"/>
        </w:rPr>
        <w:t>十四、签订地点</w:t>
      </w:r>
      <w:bookmarkEnd w:id="796"/>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本合同在</w:t>
      </w:r>
      <w:r>
        <w:rPr>
          <w:rFonts w:hint="eastAsia" w:ascii="宋体" w:hAnsi="宋体" w:cs="宋体"/>
          <w:bCs/>
          <w:color w:val="auto"/>
          <w:sz w:val="24"/>
          <w:u w:val="single"/>
        </w:rPr>
        <w:t xml:space="preserve">             </w:t>
      </w:r>
      <w:r>
        <w:rPr>
          <w:rFonts w:hint="eastAsia" w:ascii="宋体" w:hAnsi="宋体" w:cs="宋体"/>
          <w:bCs/>
          <w:color w:val="auto"/>
          <w:sz w:val="24"/>
          <w:u w:val="single"/>
          <w:lang w:val="en-US" w:eastAsia="zh-CN"/>
        </w:rPr>
        <w:t xml:space="preserve">                                </w:t>
      </w:r>
      <w:r>
        <w:rPr>
          <w:rFonts w:hint="eastAsia" w:ascii="宋体" w:hAnsi="宋体" w:cs="宋体"/>
          <w:bCs/>
          <w:color w:val="auto"/>
          <w:sz w:val="24"/>
          <w:u w:val="single"/>
        </w:rPr>
        <w:t xml:space="preserve">   </w:t>
      </w:r>
      <w:r>
        <w:rPr>
          <w:rFonts w:hint="eastAsia" w:ascii="宋体" w:hAnsi="宋体" w:cs="宋体"/>
          <w:bCs/>
          <w:color w:val="auto"/>
          <w:sz w:val="24"/>
        </w:rPr>
        <w:t>签订。</w:t>
      </w:r>
    </w:p>
    <w:p>
      <w:pPr>
        <w:pStyle w:val="6"/>
        <w:spacing w:before="0" w:after="0" w:line="360" w:lineRule="auto"/>
        <w:ind w:firstLine="482" w:firstLineChars="200"/>
        <w:rPr>
          <w:rFonts w:hint="eastAsia" w:ascii="宋体" w:hAnsi="宋体" w:cs="宋体"/>
          <w:color w:val="auto"/>
          <w:sz w:val="24"/>
          <w:szCs w:val="24"/>
        </w:rPr>
      </w:pPr>
      <w:bookmarkStart w:id="797" w:name="_Toc351203491"/>
      <w:r>
        <w:rPr>
          <w:rFonts w:hint="eastAsia" w:ascii="宋体" w:hAnsi="宋体" w:cs="宋体"/>
          <w:color w:val="auto"/>
          <w:sz w:val="24"/>
          <w:szCs w:val="24"/>
        </w:rPr>
        <w:t>十五、补充</w:t>
      </w:r>
      <w:bookmarkEnd w:id="797"/>
      <w:r>
        <w:rPr>
          <w:rFonts w:hint="eastAsia" w:ascii="宋体" w:hAnsi="宋体" w:cs="宋体"/>
          <w:color w:val="auto"/>
          <w:sz w:val="24"/>
          <w:szCs w:val="24"/>
        </w:rPr>
        <w:t>条款</w:t>
      </w:r>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1、合同未尽事宜参照《建设工程施工合同（示范文本）》（GF—2017—0201）执行。</w:t>
      </w:r>
    </w:p>
    <w:p>
      <w:pPr>
        <w:pStyle w:val="62"/>
        <w:spacing w:line="360" w:lineRule="auto"/>
        <w:rPr>
          <w:rFonts w:hint="eastAsia" w:hAnsi="宋体" w:cs="宋体"/>
          <w:bCs/>
          <w:color w:val="auto"/>
          <w:sz w:val="24"/>
          <w:szCs w:val="24"/>
        </w:rPr>
      </w:pPr>
      <w:r>
        <w:rPr>
          <w:rFonts w:hint="eastAsia" w:hAnsi="宋体" w:cs="宋体"/>
          <w:bCs/>
          <w:color w:val="auto"/>
          <w:sz w:val="24"/>
          <w:szCs w:val="24"/>
        </w:rPr>
        <w:t xml:space="preserve">   2、工程开工日期以开工令为准。竣工日期以建设、施工双方的竣工验收证明单中的时间为准。</w:t>
      </w:r>
    </w:p>
    <w:p>
      <w:pPr>
        <w:pStyle w:val="62"/>
        <w:spacing w:line="360" w:lineRule="auto"/>
        <w:ind w:firstLine="468" w:firstLineChars="195"/>
        <w:rPr>
          <w:rFonts w:hint="eastAsia" w:hAnsi="宋体" w:cs="宋体"/>
          <w:bCs/>
          <w:color w:val="auto"/>
          <w:sz w:val="24"/>
          <w:szCs w:val="24"/>
        </w:rPr>
      </w:pPr>
      <w:r>
        <w:rPr>
          <w:rFonts w:hint="eastAsia" w:hAnsi="宋体" w:cs="宋体"/>
          <w:bCs/>
          <w:color w:val="auto"/>
          <w:sz w:val="24"/>
          <w:szCs w:val="24"/>
        </w:rPr>
        <w:t>3、承包人应及时整理送达竣工资料，并在10日内办理竣工备案表，逾期按拖延工期处罚。</w:t>
      </w:r>
    </w:p>
    <w:p>
      <w:pPr>
        <w:pStyle w:val="62"/>
        <w:spacing w:line="360" w:lineRule="auto"/>
        <w:ind w:firstLine="480" w:firstLineChars="200"/>
        <w:rPr>
          <w:rFonts w:hint="eastAsia" w:hAnsi="宋体" w:cs="宋体"/>
          <w:bCs/>
          <w:color w:val="auto"/>
          <w:sz w:val="24"/>
          <w:szCs w:val="24"/>
        </w:rPr>
      </w:pPr>
      <w:r>
        <w:rPr>
          <w:rFonts w:hint="eastAsia" w:hAnsi="宋体" w:cs="宋体"/>
          <w:bCs/>
          <w:color w:val="auto"/>
          <w:sz w:val="24"/>
          <w:szCs w:val="24"/>
        </w:rPr>
        <w:t xml:space="preserve">4、承包人在施工过程中不得以签证（包括但不限于计量、价格签证）有异议作借口暂停施工或拖延工期，如发生此类情况，按擅自停工处理，并承担由此造成的一切后果。 </w:t>
      </w:r>
    </w:p>
    <w:p>
      <w:pPr>
        <w:pStyle w:val="62"/>
        <w:spacing w:line="360" w:lineRule="auto"/>
        <w:ind w:firstLine="468" w:firstLineChars="195"/>
        <w:rPr>
          <w:rFonts w:hint="eastAsia" w:hAnsi="宋体" w:cs="宋体"/>
          <w:bCs/>
          <w:color w:val="auto"/>
          <w:sz w:val="24"/>
          <w:szCs w:val="24"/>
        </w:rPr>
      </w:pPr>
      <w:r>
        <w:rPr>
          <w:rFonts w:hint="eastAsia" w:hAnsi="宋体" w:cs="宋体"/>
          <w:bCs/>
          <w:color w:val="auto"/>
          <w:sz w:val="24"/>
          <w:szCs w:val="24"/>
        </w:rPr>
        <w:t xml:space="preserve">5、本工程的施工进度必须满足发包方进度安排，否则发包方有权按招标文件中的相关条款进行处理，情节严重的发包方有权终止合同。 </w:t>
      </w:r>
    </w:p>
    <w:p>
      <w:pPr>
        <w:pStyle w:val="62"/>
        <w:spacing w:line="360" w:lineRule="auto"/>
        <w:ind w:firstLine="468" w:firstLineChars="195"/>
        <w:rPr>
          <w:rFonts w:hint="eastAsia" w:hAnsi="宋体" w:cs="宋体"/>
          <w:bCs/>
          <w:color w:val="auto"/>
          <w:sz w:val="24"/>
          <w:szCs w:val="24"/>
        </w:rPr>
      </w:pPr>
      <w:r>
        <w:rPr>
          <w:rFonts w:hint="eastAsia" w:hAnsi="宋体" w:cs="宋体"/>
          <w:bCs/>
          <w:color w:val="auto"/>
          <w:sz w:val="24"/>
          <w:szCs w:val="24"/>
        </w:rPr>
        <w:t>6、临时停水、停电、二次搬运、成品保护等所需措施的一切费用和工期，承包人均已在投标报价时充分考虑，并已考虑了各种可能因素影响施工所增加的费用，因此，发生上述情况，发包人不另行增加费用。</w:t>
      </w:r>
    </w:p>
    <w:p>
      <w:pPr>
        <w:pStyle w:val="62"/>
        <w:spacing w:line="360" w:lineRule="auto"/>
        <w:ind w:firstLine="480" w:firstLineChars="200"/>
        <w:rPr>
          <w:rFonts w:hint="eastAsia" w:hAnsi="宋体" w:cs="宋体"/>
          <w:bCs/>
          <w:color w:val="auto"/>
          <w:sz w:val="24"/>
          <w:szCs w:val="24"/>
        </w:rPr>
      </w:pPr>
      <w:r>
        <w:rPr>
          <w:rFonts w:hint="eastAsia" w:hAnsi="宋体" w:cs="宋体"/>
          <w:bCs/>
          <w:color w:val="auto"/>
          <w:sz w:val="24"/>
          <w:szCs w:val="24"/>
        </w:rPr>
        <w:t xml:space="preserve">7、竣工时承包人负责进行全面清理，承包人应在工程竣工前及时将临时设施及施工设备拆除，做到工完场清（含建筑垃圾清运），清理标准应获得发包人及监理认可。如承包人拒绝完成或不能按合同要求完成，发包人可安排第三方完成，按实际发生费用从承包人工程款中直接扣除，影响工期的责任由承包人承担。 </w:t>
      </w:r>
    </w:p>
    <w:p>
      <w:pPr>
        <w:pStyle w:val="62"/>
        <w:spacing w:line="360" w:lineRule="auto"/>
        <w:ind w:firstLine="468" w:firstLineChars="195"/>
        <w:rPr>
          <w:rFonts w:hint="eastAsia" w:hAnsi="宋体" w:cs="宋体"/>
          <w:bCs/>
          <w:color w:val="auto"/>
          <w:sz w:val="24"/>
          <w:szCs w:val="24"/>
        </w:rPr>
      </w:pPr>
      <w:r>
        <w:rPr>
          <w:rFonts w:hint="eastAsia" w:hAnsi="宋体" w:cs="宋体"/>
          <w:bCs/>
          <w:color w:val="auto"/>
          <w:sz w:val="24"/>
          <w:szCs w:val="24"/>
        </w:rPr>
        <w:t xml:space="preserve">  8、施工过程中如因质量、安全文明或环境保护以及其他问题而遭受规划、环保、建设、城管或其他行政管理部门批评或开具处罚通知单，每发生一次，承包人除立即整改外，还应承担0.5万元/次的违约金。承包人施工过程中对监理提出的质量、安全文明或环境保护的整改要求，承包人48 小时内未进行整改或整改后仍然无法满足要求时，每发生一次，承包人承担0.5万元的违约金。如承包人拒不执行建设行政主管部门、发包人和监理指令的，承包人将按1万元/次承担违约金，并追究相关责任。因承包人原因导致本工程出现质量、安全责任事故的，承包人承担1万元/次违约金，并赔偿由此给发包人造成的损失。 </w:t>
      </w:r>
    </w:p>
    <w:p>
      <w:pPr>
        <w:pStyle w:val="62"/>
        <w:spacing w:line="360" w:lineRule="auto"/>
        <w:ind w:firstLine="468" w:firstLineChars="195"/>
        <w:rPr>
          <w:rFonts w:hint="eastAsia" w:hAnsi="宋体" w:cs="宋体"/>
          <w:bCs/>
          <w:color w:val="auto"/>
          <w:sz w:val="24"/>
          <w:szCs w:val="24"/>
        </w:rPr>
      </w:pPr>
      <w:r>
        <w:rPr>
          <w:rFonts w:hint="eastAsia" w:hAnsi="宋体" w:cs="宋体"/>
          <w:bCs/>
          <w:color w:val="auto"/>
          <w:sz w:val="24"/>
          <w:szCs w:val="24"/>
        </w:rPr>
        <w:t xml:space="preserve">  10、若因发包人上级主管部门政策性变化等特殊原因，造成本工程暂停时，发包人只对已发生的合格工程量负责，根据已发生的合格工程量与承包人办理结算，其他违约责任双方自行协商解决。</w:t>
      </w:r>
    </w:p>
    <w:p>
      <w:pPr>
        <w:pStyle w:val="6"/>
        <w:spacing w:before="0" w:after="0" w:line="360" w:lineRule="auto"/>
        <w:ind w:firstLine="482" w:firstLineChars="200"/>
        <w:rPr>
          <w:rFonts w:hint="eastAsia" w:ascii="宋体" w:hAnsi="宋体" w:cs="宋体"/>
          <w:color w:val="auto"/>
          <w:sz w:val="24"/>
          <w:szCs w:val="24"/>
        </w:rPr>
      </w:pPr>
      <w:bookmarkStart w:id="798" w:name="_Toc351203492"/>
      <w:r>
        <w:rPr>
          <w:rFonts w:hint="eastAsia" w:ascii="宋体" w:hAnsi="宋体" w:cs="宋体"/>
          <w:color w:val="auto"/>
          <w:sz w:val="24"/>
          <w:szCs w:val="24"/>
        </w:rPr>
        <w:t>十六、合同生效</w:t>
      </w:r>
      <w:bookmarkEnd w:id="798"/>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本合同自</w:t>
      </w:r>
      <w:r>
        <w:rPr>
          <w:rFonts w:hint="eastAsia" w:ascii="宋体" w:hAnsi="宋体" w:cs="宋体"/>
          <w:bCs/>
          <w:color w:val="auto"/>
          <w:sz w:val="24"/>
          <w:u w:val="single"/>
        </w:rPr>
        <w:t xml:space="preserve">     </w:t>
      </w:r>
      <w:r>
        <w:rPr>
          <w:rFonts w:hint="eastAsia" w:ascii="宋体" w:hAnsi="宋体" w:cs="宋体"/>
          <w:b/>
          <w:bCs/>
          <w:color w:val="auto"/>
          <w:sz w:val="24"/>
          <w:u w:val="single"/>
        </w:rPr>
        <w:t xml:space="preserve">双方签字并盖章后     </w:t>
      </w:r>
      <w:r>
        <w:rPr>
          <w:rFonts w:hint="eastAsia" w:ascii="宋体" w:hAnsi="宋体" w:cs="宋体"/>
          <w:bCs/>
          <w:color w:val="auto"/>
          <w:sz w:val="24"/>
        </w:rPr>
        <w:t>生效。</w:t>
      </w:r>
    </w:p>
    <w:p>
      <w:pPr>
        <w:pStyle w:val="6"/>
        <w:spacing w:before="0" w:after="0" w:line="360" w:lineRule="auto"/>
        <w:rPr>
          <w:rFonts w:hint="eastAsia" w:ascii="宋体" w:hAnsi="宋体" w:cs="宋体"/>
          <w:color w:val="auto"/>
          <w:sz w:val="24"/>
          <w:szCs w:val="24"/>
        </w:rPr>
      </w:pPr>
      <w:bookmarkStart w:id="799" w:name="_Toc351203493"/>
      <w:r>
        <w:rPr>
          <w:rFonts w:hint="eastAsia" w:ascii="宋体" w:hAnsi="宋体" w:cs="宋体"/>
          <w:color w:val="auto"/>
          <w:sz w:val="24"/>
          <w:szCs w:val="24"/>
        </w:rPr>
        <w:t xml:space="preserve">    十七、合同份数</w:t>
      </w:r>
      <w:bookmarkEnd w:id="799"/>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本合同一式</w:t>
      </w:r>
      <w:r>
        <w:rPr>
          <w:rFonts w:hint="eastAsia" w:ascii="宋体" w:hAnsi="宋体" w:cs="宋体"/>
          <w:bCs/>
          <w:color w:val="auto"/>
          <w:sz w:val="24"/>
          <w:u w:val="single"/>
        </w:rPr>
        <w:t xml:space="preserve"> 【</w:t>
      </w:r>
      <w:r>
        <w:rPr>
          <w:rFonts w:hint="eastAsia" w:ascii="宋体" w:hAnsi="宋体" w:cs="宋体"/>
          <w:bCs/>
          <w:color w:val="auto"/>
          <w:sz w:val="24"/>
          <w:u w:val="single"/>
          <w:lang w:eastAsia="zh-CN"/>
        </w:rPr>
        <w:t>陆</w:t>
      </w:r>
      <w:r>
        <w:rPr>
          <w:rFonts w:hint="eastAsia" w:ascii="宋体" w:hAnsi="宋体" w:cs="宋体"/>
          <w:bCs/>
          <w:color w:val="auto"/>
          <w:sz w:val="24"/>
          <w:u w:val="single"/>
        </w:rPr>
        <w:t xml:space="preserve">】 </w:t>
      </w:r>
      <w:r>
        <w:rPr>
          <w:rFonts w:hint="eastAsia" w:ascii="宋体" w:hAnsi="宋体" w:cs="宋体"/>
          <w:bCs/>
          <w:color w:val="auto"/>
          <w:sz w:val="24"/>
        </w:rPr>
        <w:t>份，均具有同等法律效力，发包人执</w:t>
      </w:r>
      <w:r>
        <w:rPr>
          <w:rFonts w:hint="eastAsia" w:ascii="宋体" w:hAnsi="宋体" w:cs="宋体"/>
          <w:bCs/>
          <w:color w:val="auto"/>
          <w:sz w:val="24"/>
          <w:u w:val="single"/>
        </w:rPr>
        <w:t xml:space="preserve"> </w:t>
      </w:r>
      <w:r>
        <w:rPr>
          <w:rFonts w:hint="eastAsia" w:ascii="宋体" w:hAnsi="宋体" w:cs="宋体"/>
          <w:bCs/>
          <w:color w:val="auto"/>
          <w:sz w:val="24"/>
          <w:u w:val="single"/>
          <w:lang w:eastAsia="zh-CN"/>
        </w:rPr>
        <w:t>叁</w:t>
      </w:r>
      <w:r>
        <w:rPr>
          <w:rFonts w:hint="eastAsia" w:ascii="宋体" w:hAnsi="宋体" w:cs="宋体"/>
          <w:bCs/>
          <w:color w:val="auto"/>
          <w:sz w:val="24"/>
          <w:u w:val="single"/>
        </w:rPr>
        <w:t xml:space="preserve"> </w:t>
      </w:r>
      <w:r>
        <w:rPr>
          <w:rFonts w:hint="eastAsia" w:ascii="宋体" w:hAnsi="宋体" w:cs="宋体"/>
          <w:bCs/>
          <w:color w:val="auto"/>
          <w:sz w:val="24"/>
        </w:rPr>
        <w:t>份，承包人执</w:t>
      </w:r>
      <w:r>
        <w:rPr>
          <w:rFonts w:hint="eastAsia" w:ascii="宋体" w:hAnsi="宋体" w:cs="宋体"/>
          <w:bCs/>
          <w:color w:val="auto"/>
          <w:sz w:val="24"/>
          <w:u w:val="single"/>
        </w:rPr>
        <w:t xml:space="preserve"> </w:t>
      </w:r>
      <w:r>
        <w:rPr>
          <w:rFonts w:hint="eastAsia" w:ascii="宋体" w:hAnsi="宋体" w:cs="宋体"/>
          <w:bCs/>
          <w:color w:val="auto"/>
          <w:sz w:val="24"/>
          <w:u w:val="single"/>
          <w:lang w:eastAsia="zh-CN"/>
        </w:rPr>
        <w:t>叁</w:t>
      </w:r>
      <w:r>
        <w:rPr>
          <w:rFonts w:hint="eastAsia" w:ascii="宋体" w:hAnsi="宋体" w:cs="宋体"/>
          <w:bCs/>
          <w:color w:val="auto"/>
          <w:sz w:val="24"/>
          <w:u w:val="single"/>
        </w:rPr>
        <w:t xml:space="preserve"> </w:t>
      </w:r>
      <w:r>
        <w:rPr>
          <w:rFonts w:hint="eastAsia" w:ascii="宋体" w:hAnsi="宋体" w:cs="宋体"/>
          <w:bCs/>
          <w:color w:val="auto"/>
          <w:sz w:val="24"/>
        </w:rPr>
        <w:t>份。</w:t>
      </w:r>
    </w:p>
    <w:p>
      <w:pPr>
        <w:spacing w:line="360" w:lineRule="auto"/>
        <w:rPr>
          <w:rFonts w:hint="eastAsia" w:ascii="宋体" w:hAnsi="宋体" w:cs="宋体"/>
          <w:color w:val="auto"/>
          <w:sz w:val="24"/>
        </w:rPr>
      </w:pPr>
    </w:p>
    <w:tbl>
      <w:tblPr>
        <w:tblStyle w:val="51"/>
        <w:tblW w:w="0" w:type="auto"/>
        <w:tblInd w:w="0" w:type="dxa"/>
        <w:tblLayout w:type="autofit"/>
        <w:tblCellMar>
          <w:top w:w="0" w:type="dxa"/>
          <w:left w:w="108" w:type="dxa"/>
          <w:bottom w:w="0" w:type="dxa"/>
          <w:right w:w="108" w:type="dxa"/>
        </w:tblCellMar>
      </w:tblPr>
      <w:tblGrid>
        <w:gridCol w:w="4355"/>
        <w:gridCol w:w="4933"/>
      </w:tblGrid>
      <w:tr>
        <w:tblPrEx>
          <w:tblCellMar>
            <w:top w:w="0" w:type="dxa"/>
            <w:left w:w="108" w:type="dxa"/>
            <w:bottom w:w="0" w:type="dxa"/>
            <w:right w:w="108" w:type="dxa"/>
          </w:tblCellMar>
        </w:tblPrEx>
        <w:tc>
          <w:tcPr>
            <w:tcW w:w="4576" w:type="dxa"/>
            <w:noWrap w:val="0"/>
            <w:vAlign w:val="top"/>
          </w:tcPr>
          <w:p>
            <w:pPr>
              <w:spacing w:line="360" w:lineRule="auto"/>
              <w:rPr>
                <w:rFonts w:hint="eastAsia" w:ascii="宋体" w:hAnsi="宋体" w:eastAsia="宋体" w:cs="宋体"/>
                <w:color w:val="auto"/>
                <w:sz w:val="24"/>
                <w:lang w:eastAsia="zh-CN"/>
              </w:rPr>
            </w:pPr>
            <w:r>
              <w:rPr>
                <w:rFonts w:hint="eastAsia" w:ascii="宋体" w:hAnsi="宋体"/>
                <w:color w:val="auto"/>
                <w:sz w:val="24"/>
              </w:rPr>
              <w:t>发包人：</w:t>
            </w:r>
            <w:r>
              <w:rPr>
                <w:rFonts w:hint="eastAsia" w:ascii="宋体" w:hAnsi="宋体" w:cs="MingLiU_HKSCS"/>
                <w:color w:val="auto"/>
                <w:sz w:val="24"/>
                <w:lang w:eastAsia="zh-CN"/>
              </w:rPr>
              <w:t>常州市西太湖旅游发展有限公司</w:t>
            </w:r>
          </w:p>
          <w:p>
            <w:pPr>
              <w:spacing w:line="360" w:lineRule="auto"/>
              <w:rPr>
                <w:rFonts w:hint="eastAsia" w:ascii="宋体" w:hAnsi="宋体" w:cs="宋体"/>
                <w:color w:val="auto"/>
                <w:sz w:val="24"/>
              </w:rPr>
            </w:pPr>
            <w:r>
              <w:rPr>
                <w:rFonts w:hint="eastAsia" w:ascii="宋体" w:hAnsi="宋体" w:cs="宋体"/>
                <w:color w:val="auto"/>
                <w:sz w:val="24"/>
              </w:rPr>
              <w:t>（盖章）</w:t>
            </w:r>
          </w:p>
          <w:p>
            <w:pPr>
              <w:pStyle w:val="62"/>
              <w:widowControl w:val="0"/>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法定代表人或其委托代理人：</w:t>
            </w:r>
          </w:p>
          <w:p>
            <w:pPr>
              <w:pStyle w:val="62"/>
              <w:widowControl w:val="0"/>
              <w:spacing w:line="360" w:lineRule="auto"/>
              <w:ind w:firstLine="0"/>
              <w:rPr>
                <w:rFonts w:hint="eastAsia" w:hAnsi="宋体" w:cs="宋体"/>
                <w:color w:val="auto"/>
                <w:sz w:val="24"/>
                <w:szCs w:val="24"/>
              </w:rPr>
            </w:pPr>
            <w:r>
              <w:rPr>
                <w:rFonts w:hint="eastAsia" w:hAnsi="宋体" w:cs="宋体"/>
                <w:color w:val="auto"/>
                <w:sz w:val="24"/>
                <w:szCs w:val="24"/>
              </w:rPr>
              <w:t>（签字）</w:t>
            </w:r>
          </w:p>
          <w:p>
            <w:pPr>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单位地址：</w:t>
            </w:r>
          </w:p>
          <w:p>
            <w:pPr>
              <w:spacing w:line="360" w:lineRule="auto"/>
              <w:rPr>
                <w:rFonts w:hint="eastAsia" w:ascii="宋体" w:hAnsi="宋体" w:cs="宋体"/>
                <w:color w:val="auto"/>
                <w:sz w:val="24"/>
              </w:rPr>
            </w:pPr>
            <w:r>
              <w:rPr>
                <w:rFonts w:hint="eastAsia" w:ascii="宋体" w:hAnsi="宋体" w:cs="宋体"/>
                <w:color w:val="auto"/>
                <w:sz w:val="24"/>
              </w:rPr>
              <w:t xml:space="preserve">电话： </w:t>
            </w:r>
          </w:p>
          <w:p>
            <w:pPr>
              <w:spacing w:line="360" w:lineRule="auto"/>
              <w:rPr>
                <w:rFonts w:hint="eastAsia" w:ascii="宋体" w:hAnsi="宋体" w:cs="宋体"/>
                <w:color w:val="auto"/>
                <w:sz w:val="24"/>
              </w:rPr>
            </w:pPr>
            <w:r>
              <w:rPr>
                <w:rFonts w:hint="eastAsia" w:ascii="宋体" w:hAnsi="宋体"/>
                <w:color w:val="auto"/>
                <w:sz w:val="24"/>
              </w:rPr>
              <w:t>传真：</w:t>
            </w:r>
          </w:p>
          <w:p>
            <w:pPr>
              <w:spacing w:line="360" w:lineRule="auto"/>
              <w:rPr>
                <w:rFonts w:hint="eastAsia" w:ascii="宋体" w:hAnsi="宋体" w:cs="宋体"/>
                <w:color w:val="auto"/>
                <w:sz w:val="24"/>
              </w:rPr>
            </w:pPr>
            <w:r>
              <w:rPr>
                <w:rFonts w:hint="eastAsia" w:ascii="宋体" w:hAnsi="宋体"/>
                <w:color w:val="auto"/>
                <w:sz w:val="24"/>
              </w:rPr>
              <w:t>邮政编码：</w:t>
            </w:r>
          </w:p>
        </w:tc>
        <w:tc>
          <w:tcPr>
            <w:tcW w:w="5190"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承包人：（盖章）</w:t>
            </w:r>
          </w:p>
          <w:p>
            <w:pPr>
              <w:pStyle w:val="62"/>
              <w:widowControl w:val="0"/>
              <w:rPr>
                <w:rFonts w:hint="eastAsia"/>
                <w:color w:val="auto"/>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法定代表人或其委托代理人：</w:t>
            </w:r>
          </w:p>
          <w:p>
            <w:pPr>
              <w:pStyle w:val="62"/>
              <w:widowControl w:val="0"/>
              <w:spacing w:line="360" w:lineRule="auto"/>
              <w:ind w:firstLine="0"/>
              <w:rPr>
                <w:rFonts w:hint="eastAsia" w:hAnsi="宋体" w:cs="宋体"/>
                <w:color w:val="auto"/>
                <w:sz w:val="24"/>
                <w:szCs w:val="24"/>
              </w:rPr>
            </w:pPr>
            <w:r>
              <w:rPr>
                <w:rFonts w:hint="eastAsia" w:hAnsi="宋体" w:cs="宋体"/>
                <w:color w:val="auto"/>
                <w:sz w:val="24"/>
                <w:szCs w:val="24"/>
              </w:rPr>
              <w:t>（签字）</w:t>
            </w:r>
          </w:p>
          <w:p>
            <w:pPr>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单位地址：</w:t>
            </w:r>
          </w:p>
          <w:p>
            <w:pPr>
              <w:spacing w:line="360" w:lineRule="auto"/>
              <w:rPr>
                <w:rFonts w:hint="eastAsia" w:ascii="宋体" w:hAnsi="宋体" w:cs="宋体"/>
                <w:color w:val="auto"/>
                <w:sz w:val="24"/>
              </w:rPr>
            </w:pPr>
            <w:r>
              <w:rPr>
                <w:rFonts w:hint="eastAsia" w:ascii="宋体" w:hAnsi="宋体" w:cs="宋体"/>
                <w:color w:val="auto"/>
                <w:sz w:val="24"/>
              </w:rPr>
              <w:t>电话：</w:t>
            </w:r>
          </w:p>
          <w:p>
            <w:pPr>
              <w:spacing w:line="360" w:lineRule="auto"/>
              <w:rPr>
                <w:rFonts w:hint="eastAsia" w:ascii="宋体" w:hAnsi="宋体"/>
                <w:color w:val="auto"/>
                <w:sz w:val="24"/>
              </w:rPr>
            </w:pPr>
            <w:r>
              <w:rPr>
                <w:rFonts w:hint="eastAsia" w:ascii="宋体" w:hAnsi="宋体"/>
                <w:color w:val="auto"/>
                <w:sz w:val="24"/>
              </w:rPr>
              <w:t>传真：</w:t>
            </w:r>
          </w:p>
          <w:p>
            <w:pPr>
              <w:spacing w:line="360" w:lineRule="auto"/>
              <w:rPr>
                <w:rFonts w:hint="eastAsia" w:ascii="宋体" w:hAnsi="宋体" w:cs="宋体"/>
                <w:color w:val="auto"/>
                <w:sz w:val="24"/>
              </w:rPr>
            </w:pPr>
            <w:r>
              <w:rPr>
                <w:rFonts w:hint="eastAsia" w:ascii="宋体" w:hAnsi="宋体"/>
                <w:color w:val="auto"/>
                <w:sz w:val="24"/>
              </w:rPr>
              <w:t>邮政编码：</w:t>
            </w:r>
          </w:p>
          <w:p>
            <w:pPr>
              <w:spacing w:line="360" w:lineRule="auto"/>
              <w:rPr>
                <w:rFonts w:ascii="宋体" w:hAnsi="宋体" w:cs="宋体"/>
                <w:color w:val="auto"/>
                <w:sz w:val="24"/>
              </w:rPr>
            </w:pPr>
            <w:r>
              <w:rPr>
                <w:rFonts w:hint="eastAsia" w:ascii="宋体" w:hAnsi="宋体" w:cs="宋体"/>
                <w:color w:val="auto"/>
                <w:sz w:val="24"/>
              </w:rPr>
              <w:t>开户银行：</w:t>
            </w:r>
          </w:p>
          <w:p>
            <w:pPr>
              <w:spacing w:line="360" w:lineRule="auto"/>
              <w:rPr>
                <w:rFonts w:hint="eastAsia" w:ascii="宋体" w:hAnsi="宋体" w:cs="宋体"/>
                <w:color w:val="auto"/>
                <w:sz w:val="24"/>
              </w:rPr>
            </w:pPr>
            <w:r>
              <w:rPr>
                <w:rFonts w:hint="eastAsia" w:ascii="宋体" w:hAnsi="宋体" w:cs="宋体"/>
                <w:color w:val="auto"/>
                <w:sz w:val="24"/>
              </w:rPr>
              <w:t>账号：</w:t>
            </w:r>
          </w:p>
        </w:tc>
      </w:tr>
    </w:tbl>
    <w:p>
      <w:pPr>
        <w:spacing w:line="360" w:lineRule="auto"/>
        <w:jc w:val="left"/>
        <w:rPr>
          <w:rFonts w:hint="eastAsia" w:ascii="宋体" w:hAnsi="宋体" w:cs="宋体"/>
          <w:b/>
          <w:color w:val="auto"/>
          <w:sz w:val="24"/>
        </w:rPr>
      </w:pPr>
    </w:p>
    <w:p>
      <w:pPr>
        <w:pStyle w:val="62"/>
        <w:spacing w:line="360" w:lineRule="auto"/>
        <w:rPr>
          <w:rFonts w:hint="eastAsia" w:hAnsi="宋体" w:cs="宋体"/>
          <w:color w:val="auto"/>
          <w:sz w:val="24"/>
          <w:szCs w:val="24"/>
        </w:rPr>
      </w:pPr>
    </w:p>
    <w:p>
      <w:pPr>
        <w:spacing w:line="360" w:lineRule="auto"/>
        <w:jc w:val="left"/>
        <w:rPr>
          <w:rFonts w:hint="eastAsia" w:ascii="宋体" w:hAnsi="宋体" w:cs="宋体"/>
          <w:color w:val="auto"/>
          <w:sz w:val="24"/>
        </w:rPr>
      </w:pPr>
      <w:r>
        <w:rPr>
          <w:rFonts w:hint="eastAsia" w:ascii="宋体" w:hAnsi="宋体" w:cs="宋体"/>
          <w:color w:val="auto"/>
          <w:sz w:val="24"/>
        </w:rPr>
        <w:t>附件1：工程量清单与报价（详见清单）</w:t>
      </w:r>
    </w:p>
    <w:p>
      <w:pPr>
        <w:spacing w:line="360" w:lineRule="auto"/>
        <w:jc w:val="left"/>
        <w:rPr>
          <w:rFonts w:hint="eastAsia" w:ascii="宋体" w:hAnsi="宋体" w:cs="宋体"/>
          <w:color w:val="auto"/>
          <w:sz w:val="24"/>
        </w:rPr>
      </w:pPr>
      <w:r>
        <w:rPr>
          <w:rFonts w:hint="eastAsia" w:ascii="宋体" w:hAnsi="宋体" w:cs="宋体"/>
          <w:color w:val="auto"/>
          <w:sz w:val="24"/>
        </w:rPr>
        <w:t>附件2：工程质量保修书</w:t>
      </w:r>
    </w:p>
    <w:p>
      <w:pPr>
        <w:spacing w:line="360" w:lineRule="auto"/>
        <w:jc w:val="left"/>
        <w:rPr>
          <w:rFonts w:hint="eastAsia" w:ascii="宋体" w:hAnsi="宋体" w:cs="宋体"/>
          <w:color w:val="auto"/>
          <w:sz w:val="30"/>
          <w:szCs w:val="30"/>
        </w:rPr>
      </w:pPr>
      <w:r>
        <w:rPr>
          <w:rFonts w:hint="eastAsia" w:ascii="宋体" w:hAnsi="宋体" w:cs="宋体"/>
          <w:color w:val="auto"/>
          <w:sz w:val="30"/>
          <w:szCs w:val="30"/>
        </w:rPr>
        <w:br w:type="page"/>
      </w:r>
      <w:r>
        <w:rPr>
          <w:rFonts w:hint="eastAsia" w:ascii="宋体" w:hAnsi="宋体" w:cs="宋体"/>
          <w:color w:val="auto"/>
          <w:sz w:val="30"/>
          <w:szCs w:val="30"/>
        </w:rPr>
        <w:t>附</w:t>
      </w:r>
      <w:bookmarkStart w:id="800" w:name="_Toc296944565"/>
      <w:bookmarkStart w:id="801" w:name="_Toc296346727"/>
      <w:bookmarkStart w:id="802" w:name="_Toc296503226"/>
      <w:bookmarkStart w:id="803" w:name="_Toc296891266"/>
      <w:bookmarkStart w:id="804" w:name="_Toc296891054"/>
      <w:bookmarkStart w:id="805" w:name="_Toc296347225"/>
      <w:bookmarkStart w:id="806" w:name="_Toc267261693"/>
      <w:r>
        <w:rPr>
          <w:rFonts w:hint="eastAsia" w:ascii="宋体" w:hAnsi="宋体" w:cs="宋体"/>
          <w:color w:val="auto"/>
          <w:sz w:val="30"/>
          <w:szCs w:val="30"/>
        </w:rPr>
        <w:t>件2：</w:t>
      </w:r>
      <w:bookmarkEnd w:id="800"/>
      <w:bookmarkEnd w:id="801"/>
      <w:bookmarkEnd w:id="802"/>
      <w:bookmarkEnd w:id="803"/>
      <w:bookmarkEnd w:id="804"/>
      <w:bookmarkEnd w:id="805"/>
      <w:bookmarkEnd w:id="806"/>
      <w:r>
        <w:rPr>
          <w:rFonts w:hint="eastAsia" w:ascii="宋体" w:hAnsi="宋体" w:cs="宋体"/>
          <w:color w:val="auto"/>
          <w:sz w:val="30"/>
          <w:szCs w:val="30"/>
        </w:rPr>
        <w:t xml:space="preserve">    </w:t>
      </w:r>
    </w:p>
    <w:p>
      <w:pPr>
        <w:spacing w:line="460" w:lineRule="exact"/>
        <w:jc w:val="center"/>
        <w:rPr>
          <w:rFonts w:ascii="Cambria Math" w:hAnsi="Cambria Math"/>
          <w:b/>
          <w:color w:val="auto"/>
          <w:sz w:val="32"/>
          <w:szCs w:val="32"/>
        </w:rPr>
      </w:pPr>
      <w:bookmarkStart w:id="807" w:name="_Toc145045653"/>
      <w:bookmarkStart w:id="808" w:name="_Toc145045822"/>
      <w:bookmarkStart w:id="809" w:name="_Toc329594769"/>
      <w:bookmarkStart w:id="810" w:name="_Toc414005441"/>
      <w:bookmarkStart w:id="811" w:name="_Toc145046107"/>
      <w:bookmarkStart w:id="812" w:name="_Toc145045457"/>
      <w:bookmarkStart w:id="813" w:name="_Toc145046225"/>
      <w:bookmarkStart w:id="814" w:name="_Toc308008654"/>
      <w:r>
        <w:rPr>
          <w:rFonts w:ascii="Cambria Math" w:hAnsi="Cambria Math"/>
          <w:b/>
          <w:color w:val="auto"/>
          <w:sz w:val="32"/>
          <w:szCs w:val="32"/>
        </w:rPr>
        <w:t>合同附件2</w:t>
      </w:r>
      <w:r>
        <w:rPr>
          <w:rFonts w:hint="eastAsia"/>
          <w:color w:val="auto"/>
        </w:rPr>
        <w:t xml:space="preserve"> </w:t>
      </w:r>
      <w:r>
        <w:rPr>
          <w:rFonts w:ascii="Cambria Math" w:hAnsi="Cambria Math"/>
          <w:b/>
          <w:color w:val="auto"/>
          <w:sz w:val="32"/>
          <w:szCs w:val="32"/>
        </w:rPr>
        <w:t>工程质量保修书</w:t>
      </w:r>
    </w:p>
    <w:p>
      <w:pPr>
        <w:spacing w:line="460" w:lineRule="exact"/>
        <w:ind w:firstLine="480" w:firstLineChars="200"/>
        <w:rPr>
          <w:rFonts w:ascii="Cambria Math" w:hAnsi="Cambria Math" w:cs="Arial"/>
          <w:b/>
          <w:bCs/>
          <w:color w:val="auto"/>
          <w:spacing w:val="-4"/>
          <w:kern w:val="0"/>
          <w:sz w:val="24"/>
          <w:u w:val="single"/>
        </w:rPr>
      </w:pPr>
      <w:r>
        <w:rPr>
          <w:rFonts w:ascii="Cambria Math" w:hAnsi="Cambria Math"/>
          <w:color w:val="auto"/>
          <w:sz w:val="24"/>
        </w:rPr>
        <w:t>发包人</w:t>
      </w:r>
      <w:r>
        <w:rPr>
          <w:rFonts w:hint="eastAsia" w:ascii="Cambria Math" w:hAnsi="Cambria Math"/>
          <w:color w:val="auto"/>
          <w:sz w:val="24"/>
        </w:rPr>
        <w:t>（甲方）</w:t>
      </w:r>
      <w:r>
        <w:rPr>
          <w:rFonts w:ascii="Cambria Math" w:hAnsi="Cambria Math"/>
          <w:color w:val="auto"/>
          <w:sz w:val="24"/>
        </w:rPr>
        <w:t>：</w:t>
      </w:r>
      <w:r>
        <w:rPr>
          <w:rFonts w:hint="eastAsia" w:ascii="Cambria Math" w:hAnsi="Cambria Math"/>
          <w:color w:val="auto"/>
          <w:sz w:val="24"/>
        </w:rPr>
        <w:t>【</w:t>
      </w:r>
      <w:r>
        <w:rPr>
          <w:rFonts w:hint="eastAsia" w:ascii="宋体" w:hAnsi="宋体" w:cs="MingLiU_HKSCS"/>
          <w:color w:val="auto"/>
          <w:sz w:val="24"/>
          <w:lang w:eastAsia="zh-CN"/>
        </w:rPr>
        <w:t>常州市西太湖旅游发展有限公司</w:t>
      </w:r>
      <w:r>
        <w:rPr>
          <w:rFonts w:hint="eastAsia" w:ascii="Cambria Math" w:hAnsi="Cambria Math"/>
          <w:color w:val="auto"/>
          <w:sz w:val="24"/>
        </w:rPr>
        <w:t xml:space="preserve">】  </w:t>
      </w:r>
      <w:r>
        <w:rPr>
          <w:rFonts w:ascii="Cambria Math" w:hAnsi="Cambria Math"/>
          <w:b/>
          <w:bCs/>
          <w:color w:val="auto"/>
          <w:sz w:val="32"/>
          <w:szCs w:val="32"/>
        </w:rPr>
        <w:t xml:space="preserve"> </w:t>
      </w:r>
    </w:p>
    <w:p>
      <w:pPr>
        <w:spacing w:line="460" w:lineRule="exact"/>
        <w:ind w:firstLine="480" w:firstLineChars="200"/>
        <w:rPr>
          <w:rFonts w:hint="eastAsia" w:ascii="Cambria Math" w:hAnsi="Cambria Math"/>
          <w:color w:val="auto"/>
          <w:sz w:val="24"/>
        </w:rPr>
      </w:pPr>
      <w:r>
        <w:rPr>
          <w:rFonts w:ascii="Cambria Math" w:hAnsi="Cambria Math"/>
          <w:color w:val="auto"/>
          <w:sz w:val="24"/>
        </w:rPr>
        <w:t>承包人</w:t>
      </w:r>
      <w:r>
        <w:rPr>
          <w:rFonts w:hint="eastAsia" w:ascii="Cambria Math" w:hAnsi="Cambria Math"/>
          <w:color w:val="auto"/>
          <w:sz w:val="24"/>
        </w:rPr>
        <w:t>（乙方）：</w:t>
      </w:r>
      <w:r>
        <w:rPr>
          <w:rFonts w:hint="eastAsia" w:ascii="宋体" w:hAnsi="宋体" w:cs="宋体"/>
          <w:color w:val="auto"/>
          <w:sz w:val="24"/>
          <w:szCs w:val="21"/>
        </w:rPr>
        <w:t>【</w:t>
      </w:r>
      <w:r>
        <w:rPr>
          <w:rFonts w:hint="eastAsia" w:ascii="宋体" w:hAnsi="宋体" w:cs="宋体"/>
          <w:color w:val="auto"/>
          <w:sz w:val="24"/>
          <w:szCs w:val="21"/>
          <w:lang w:val="en-US" w:eastAsia="zh-CN"/>
        </w:rPr>
        <w:t xml:space="preserve">                        </w:t>
      </w:r>
      <w:r>
        <w:rPr>
          <w:rFonts w:hint="eastAsia" w:ascii="宋体" w:hAnsi="宋体" w:cs="宋体"/>
          <w:color w:val="auto"/>
          <w:sz w:val="24"/>
          <w:szCs w:val="21"/>
        </w:rPr>
        <w:t>】</w:t>
      </w:r>
    </w:p>
    <w:p>
      <w:pPr>
        <w:spacing w:line="460" w:lineRule="exact"/>
        <w:ind w:firstLine="480" w:firstLineChars="200"/>
        <w:rPr>
          <w:rFonts w:ascii="Cambria Math" w:hAnsi="Cambria Math"/>
          <w:color w:val="auto"/>
          <w:sz w:val="24"/>
        </w:rPr>
      </w:pPr>
      <w:r>
        <w:rPr>
          <w:rFonts w:ascii="Cambria Math" w:hAnsi="Cambria Math"/>
          <w:color w:val="auto"/>
          <w:sz w:val="24"/>
        </w:rPr>
        <w:t>发包人、承包人根据《中华人民共和国建筑法》《建设工程质量管理条例》和《房屋建筑工程质量保修办法》，经协商一致，对</w:t>
      </w:r>
      <w:r>
        <w:rPr>
          <w:rFonts w:hint="eastAsia" w:ascii="Cambria Math" w:hAnsi="Cambria Math"/>
          <w:color w:val="auto"/>
          <w:sz w:val="24"/>
          <w:u w:val="single"/>
          <w:lang w:val="en-US" w:eastAsia="zh-CN"/>
        </w:rPr>
        <w:t xml:space="preserve">                         </w:t>
      </w:r>
      <w:r>
        <w:rPr>
          <w:rFonts w:hint="eastAsia" w:ascii="Cambria Math" w:hAnsi="Cambria Math"/>
          <w:color w:val="auto"/>
          <w:sz w:val="24"/>
        </w:rPr>
        <w:t>工程</w:t>
      </w:r>
      <w:r>
        <w:rPr>
          <w:rFonts w:ascii="Cambria Math" w:hAnsi="Cambria Math"/>
          <w:color w:val="auto"/>
          <w:sz w:val="24"/>
        </w:rPr>
        <w:t>签订工程质量保修书。</w:t>
      </w:r>
    </w:p>
    <w:p>
      <w:pPr>
        <w:spacing w:line="460" w:lineRule="exact"/>
        <w:ind w:firstLine="480" w:firstLineChars="200"/>
        <w:rPr>
          <w:rFonts w:ascii="Cambria Math" w:hAnsi="Cambria Math"/>
          <w:color w:val="auto"/>
          <w:sz w:val="24"/>
        </w:rPr>
      </w:pPr>
      <w:r>
        <w:rPr>
          <w:rFonts w:ascii="Cambria Math" w:hAnsi="Cambria Math"/>
          <w:color w:val="auto"/>
          <w:sz w:val="24"/>
        </w:rPr>
        <w:t>一、工程质量保修范围和内容</w:t>
      </w:r>
    </w:p>
    <w:p>
      <w:pPr>
        <w:spacing w:line="460" w:lineRule="exact"/>
        <w:ind w:firstLine="480" w:firstLineChars="200"/>
        <w:rPr>
          <w:rFonts w:ascii="Cambria Math" w:hAnsi="Cambria Math"/>
          <w:color w:val="auto"/>
          <w:sz w:val="24"/>
        </w:rPr>
      </w:pPr>
      <w:r>
        <w:rPr>
          <w:rFonts w:ascii="Cambria Math" w:hAnsi="Cambria Math"/>
          <w:color w:val="auto"/>
          <w:sz w:val="24"/>
        </w:rPr>
        <w:t>承包人在质量保修期内，按照有关法律、法规、规章规定和双方约定，承担本工程质量保修责任。</w:t>
      </w:r>
    </w:p>
    <w:p>
      <w:pPr>
        <w:spacing w:line="360" w:lineRule="auto"/>
        <w:ind w:firstLine="500" w:firstLineChars="200"/>
        <w:rPr>
          <w:rFonts w:ascii="Cambria Math" w:hAnsi="Cambria Math"/>
          <w:color w:val="auto"/>
          <w:sz w:val="25"/>
        </w:rPr>
      </w:pPr>
      <w:r>
        <w:rPr>
          <w:rFonts w:ascii="Cambria Math" w:hAnsi="Cambria Math"/>
          <w:color w:val="auto"/>
          <w:sz w:val="25"/>
        </w:rPr>
        <w:t xml:space="preserve">质量保修范围包括本工程施工合同所包含的所有内容，以及双方约定的其他项目。具体保修的内容，双方约定如下： </w:t>
      </w:r>
      <w:r>
        <w:rPr>
          <w:rFonts w:hint="eastAsia" w:ascii="宋体" w:hAnsi="宋体" w:cs="宋体"/>
          <w:b/>
          <w:iCs/>
          <w:color w:val="auto"/>
          <w:kern w:val="0"/>
          <w:sz w:val="24"/>
          <w:u w:val="single"/>
        </w:rPr>
        <w:t xml:space="preserve">        /            </w:t>
      </w:r>
      <w:r>
        <w:rPr>
          <w:rFonts w:hint="eastAsia" w:ascii="宋体" w:hAnsi="宋体" w:cs="宋体"/>
          <w:b/>
          <w:iCs/>
          <w:color w:val="auto"/>
          <w:kern w:val="0"/>
          <w:sz w:val="24"/>
        </w:rPr>
        <w:t>。</w:t>
      </w:r>
    </w:p>
    <w:p>
      <w:pPr>
        <w:spacing w:line="460" w:lineRule="exact"/>
        <w:ind w:firstLine="480" w:firstLineChars="200"/>
        <w:rPr>
          <w:rFonts w:ascii="Cambria Math" w:hAnsi="Cambria Math"/>
          <w:color w:val="auto"/>
          <w:sz w:val="24"/>
        </w:rPr>
      </w:pPr>
      <w:r>
        <w:rPr>
          <w:rFonts w:ascii="Cambria Math" w:hAnsi="Cambria Math"/>
          <w:color w:val="auto"/>
          <w:sz w:val="24"/>
        </w:rPr>
        <w:t>二、质量保修期</w:t>
      </w:r>
    </w:p>
    <w:p>
      <w:pPr>
        <w:spacing w:line="460" w:lineRule="exact"/>
        <w:ind w:firstLine="480" w:firstLineChars="200"/>
        <w:rPr>
          <w:rFonts w:ascii="Cambria Math" w:hAnsi="Cambria Math"/>
          <w:color w:val="auto"/>
          <w:sz w:val="24"/>
        </w:rPr>
      </w:pPr>
      <w:r>
        <w:rPr>
          <w:rFonts w:ascii="Cambria Math" w:hAnsi="Cambria Math"/>
          <w:color w:val="auto"/>
          <w:sz w:val="24"/>
        </w:rPr>
        <w:t>质量保修期从</w:t>
      </w:r>
      <w:r>
        <w:rPr>
          <w:rFonts w:ascii="Cambria Math" w:hAnsi="Cambria Math"/>
          <w:b/>
          <w:bCs/>
          <w:color w:val="auto"/>
          <w:sz w:val="24"/>
          <w:u w:val="single"/>
        </w:rPr>
        <w:t>工程实际竣工验收通过之日</w:t>
      </w:r>
      <w:r>
        <w:rPr>
          <w:rFonts w:ascii="Cambria Math" w:hAnsi="Cambria Math"/>
          <w:color w:val="auto"/>
          <w:sz w:val="24"/>
        </w:rPr>
        <w:t>算起。</w:t>
      </w:r>
    </w:p>
    <w:p>
      <w:pPr>
        <w:pStyle w:val="517"/>
        <w:spacing w:line="460" w:lineRule="exact"/>
        <w:ind w:firstLine="480" w:firstLineChars="200"/>
        <w:rPr>
          <w:rStyle w:val="518"/>
          <w:rFonts w:hint="eastAsia" w:ascii="Cambria Math" w:hAnsi="Cambria Math"/>
          <w:b/>
          <w:bCs/>
          <w:i w:val="0"/>
          <w:color w:val="auto"/>
          <w:kern w:val="0"/>
          <w:sz w:val="24"/>
        </w:rPr>
      </w:pPr>
      <w:r>
        <w:rPr>
          <w:rStyle w:val="518"/>
          <w:rFonts w:ascii="Cambria Math" w:hAnsi="Cambria Math"/>
          <w:i w:val="0"/>
          <w:color w:val="auto"/>
          <w:szCs w:val="24"/>
        </w:rPr>
        <w:t>双方根据《建设工程质量管理条例》及有关规定，约定本工程的质量保修期如下</w:t>
      </w:r>
      <w:r>
        <w:rPr>
          <w:rStyle w:val="518"/>
          <w:rFonts w:ascii="Cambria Math" w:hAnsi="Cambria Math"/>
          <w:i w:val="0"/>
          <w:color w:val="auto"/>
          <w:szCs w:val="24"/>
          <w:highlight w:val="none"/>
        </w:rPr>
        <w:t>：</w:t>
      </w:r>
      <w:r>
        <w:rPr>
          <w:rStyle w:val="518"/>
          <w:rFonts w:hint="eastAsia" w:ascii="Cambria Math" w:hAnsi="Cambria Math"/>
          <w:b/>
          <w:bCs/>
          <w:i w:val="0"/>
          <w:color w:val="auto"/>
          <w:kern w:val="0"/>
          <w:sz w:val="24"/>
          <w:highlight w:val="none"/>
        </w:rPr>
        <w:t>竣工验收合格后二年内免费维修保养</w:t>
      </w:r>
      <w:r>
        <w:rPr>
          <w:rStyle w:val="518"/>
          <w:rFonts w:hint="eastAsia" w:ascii="Cambria Math" w:hAnsi="Cambria Math"/>
          <w:b/>
          <w:bCs/>
          <w:i w:val="0"/>
          <w:color w:val="auto"/>
          <w:kern w:val="0"/>
          <w:sz w:val="24"/>
        </w:rPr>
        <w:t>（防水工程五年）。</w:t>
      </w:r>
    </w:p>
    <w:p>
      <w:pPr>
        <w:spacing w:line="460" w:lineRule="exact"/>
        <w:ind w:firstLine="480" w:firstLineChars="200"/>
        <w:rPr>
          <w:rFonts w:ascii="Cambria Math" w:hAnsi="Cambria Math"/>
          <w:color w:val="auto"/>
          <w:sz w:val="24"/>
        </w:rPr>
      </w:pPr>
      <w:r>
        <w:rPr>
          <w:rFonts w:ascii="Cambria Math" w:hAnsi="Cambria Math"/>
          <w:color w:val="auto"/>
          <w:sz w:val="24"/>
        </w:rPr>
        <w:t>三、质量保修责任</w:t>
      </w:r>
    </w:p>
    <w:p>
      <w:pPr>
        <w:pStyle w:val="517"/>
        <w:spacing w:line="460" w:lineRule="exact"/>
        <w:ind w:firstLine="480" w:firstLineChars="200"/>
        <w:jc w:val="both"/>
        <w:rPr>
          <w:rStyle w:val="518"/>
          <w:rFonts w:ascii="Cambria Math" w:hAnsi="Cambria Math"/>
          <w:i w:val="0"/>
          <w:color w:val="auto"/>
          <w:szCs w:val="24"/>
        </w:rPr>
      </w:pPr>
      <w:r>
        <w:rPr>
          <w:rStyle w:val="518"/>
          <w:rFonts w:ascii="Cambria Math" w:hAnsi="Cambria Math"/>
          <w:i w:val="0"/>
          <w:color w:val="auto"/>
          <w:szCs w:val="24"/>
        </w:rPr>
        <w:t>3.1.属于保修范围、内容的项目，承包人应当在接到保修通知之日起7天内派人保修。承包人不在约定期限内派人保修的，发包人可以委托他人修理。</w:t>
      </w:r>
    </w:p>
    <w:p>
      <w:pPr>
        <w:pStyle w:val="517"/>
        <w:spacing w:line="460" w:lineRule="exact"/>
        <w:ind w:firstLine="480" w:firstLineChars="200"/>
        <w:jc w:val="both"/>
        <w:rPr>
          <w:rStyle w:val="518"/>
          <w:rFonts w:ascii="Cambria Math" w:hAnsi="Cambria Math"/>
          <w:i w:val="0"/>
          <w:color w:val="auto"/>
          <w:szCs w:val="24"/>
        </w:rPr>
      </w:pPr>
      <w:r>
        <w:rPr>
          <w:rStyle w:val="518"/>
          <w:rFonts w:ascii="Cambria Math" w:hAnsi="Cambria Math"/>
          <w:i w:val="0"/>
          <w:color w:val="auto"/>
          <w:szCs w:val="24"/>
        </w:rPr>
        <w:t>3.2.发生紧急抢修事故的，承包人在接到事故通知后，应当立即到达事故现场抢修。</w:t>
      </w:r>
    </w:p>
    <w:p>
      <w:pPr>
        <w:pStyle w:val="517"/>
        <w:spacing w:line="460" w:lineRule="exact"/>
        <w:ind w:firstLine="480" w:firstLineChars="200"/>
        <w:jc w:val="both"/>
        <w:rPr>
          <w:rStyle w:val="518"/>
          <w:rFonts w:hint="default" w:ascii="Cambria Math" w:hAnsi="Cambria Math" w:eastAsiaTheme="minorEastAsia" w:cstheme="minorBidi"/>
          <w:i w:val="0"/>
          <w:color w:val="auto"/>
          <w:szCs w:val="24"/>
          <w:lang w:val="en-US" w:eastAsia="zh-CN"/>
        </w:rPr>
      </w:pPr>
      <w:r>
        <w:rPr>
          <w:rStyle w:val="518"/>
          <w:rFonts w:hint="eastAsia" w:ascii="Cambria Math" w:hAnsi="Cambria Math" w:eastAsiaTheme="minorEastAsia" w:cstheme="minorBidi"/>
          <w:i w:val="0"/>
          <w:color w:val="auto"/>
          <w:szCs w:val="24"/>
          <w:lang w:val="en-US" w:eastAsia="zh-CN"/>
        </w:rPr>
        <w:t>3.3.工程保修期内发现重大质量不合格问题(重大质量问题应界定为达不到要求的质量标准，属质量保修的问题除外)，</w:t>
      </w:r>
      <w:r>
        <w:rPr>
          <w:rStyle w:val="518"/>
          <w:rFonts w:ascii="Cambria Math" w:hAnsi="Cambria Math" w:eastAsiaTheme="minorEastAsia" w:cstheme="minorBidi"/>
          <w:i w:val="0"/>
          <w:color w:val="auto"/>
          <w:szCs w:val="24"/>
        </w:rPr>
        <w:t>承包人</w:t>
      </w:r>
      <w:r>
        <w:rPr>
          <w:rStyle w:val="518"/>
          <w:rFonts w:hint="eastAsia" w:ascii="Cambria Math" w:hAnsi="Cambria Math" w:eastAsiaTheme="minorEastAsia" w:cstheme="minorBidi"/>
          <w:i w:val="0"/>
          <w:color w:val="auto"/>
          <w:szCs w:val="24"/>
          <w:lang w:val="en-US" w:eastAsia="zh-CN"/>
        </w:rPr>
        <w:t>必须在规定的期限返工并达到合同约定的质量等级，并按该不合格项目所处分项工程造价5%计算向发包人承担支付违约金的责任。</w:t>
      </w:r>
    </w:p>
    <w:p>
      <w:pPr>
        <w:pStyle w:val="517"/>
        <w:spacing w:line="460" w:lineRule="exact"/>
        <w:ind w:firstLine="480" w:firstLineChars="200"/>
        <w:jc w:val="both"/>
        <w:rPr>
          <w:rStyle w:val="518"/>
          <w:rFonts w:ascii="Cambria Math" w:hAnsi="Cambria Math"/>
          <w:i w:val="0"/>
          <w:color w:val="auto"/>
          <w:szCs w:val="24"/>
        </w:rPr>
      </w:pPr>
      <w:r>
        <w:rPr>
          <w:rStyle w:val="518"/>
          <w:rFonts w:ascii="Cambria Math" w:hAnsi="Cambria Math"/>
          <w:i w:val="0"/>
          <w:color w:val="auto"/>
          <w:szCs w:val="24"/>
        </w:rPr>
        <w:t>3.</w:t>
      </w:r>
      <w:r>
        <w:rPr>
          <w:rStyle w:val="518"/>
          <w:rFonts w:hint="eastAsia" w:ascii="Cambria Math" w:hAnsi="Cambria Math"/>
          <w:i w:val="0"/>
          <w:color w:val="auto"/>
          <w:szCs w:val="24"/>
          <w:lang w:val="en-US" w:eastAsia="zh-CN"/>
        </w:rPr>
        <w:t>4</w:t>
      </w:r>
      <w:r>
        <w:rPr>
          <w:rStyle w:val="518"/>
          <w:rFonts w:ascii="Cambria Math" w:hAnsi="Cambria Math"/>
          <w:i w:val="0"/>
          <w:color w:val="auto"/>
          <w:szCs w:val="24"/>
        </w:rPr>
        <w:t>.对于涉及结构安全的质量问题，应当按照《建设工程质量管理条例》的规定，立即向当地建设行政主管部门报告，采取安全防范措施，由原设计单位或者具有相应资质等级的设计单位提出保修方案，承包人实施保修。</w:t>
      </w:r>
    </w:p>
    <w:p>
      <w:pPr>
        <w:pStyle w:val="517"/>
        <w:spacing w:line="460" w:lineRule="exact"/>
        <w:ind w:firstLine="480" w:firstLineChars="200"/>
        <w:jc w:val="both"/>
        <w:rPr>
          <w:rStyle w:val="518"/>
          <w:rFonts w:ascii="Cambria Math" w:hAnsi="Cambria Math"/>
          <w:i w:val="0"/>
          <w:color w:val="auto"/>
          <w:szCs w:val="24"/>
        </w:rPr>
      </w:pPr>
      <w:r>
        <w:rPr>
          <w:rStyle w:val="518"/>
          <w:rFonts w:ascii="Cambria Math" w:hAnsi="Cambria Math"/>
          <w:i w:val="0"/>
          <w:color w:val="auto"/>
          <w:szCs w:val="24"/>
        </w:rPr>
        <w:t>3.</w:t>
      </w:r>
      <w:r>
        <w:rPr>
          <w:rStyle w:val="518"/>
          <w:rFonts w:hint="eastAsia" w:ascii="Cambria Math" w:hAnsi="Cambria Math"/>
          <w:i w:val="0"/>
          <w:color w:val="auto"/>
          <w:szCs w:val="24"/>
          <w:lang w:val="en-US" w:eastAsia="zh-CN"/>
        </w:rPr>
        <w:t>5</w:t>
      </w:r>
      <w:r>
        <w:rPr>
          <w:rStyle w:val="518"/>
          <w:rFonts w:ascii="Cambria Math" w:hAnsi="Cambria Math"/>
          <w:i w:val="0"/>
          <w:color w:val="auto"/>
          <w:szCs w:val="24"/>
        </w:rPr>
        <w:t>.质量保修完成后，由发包人组织验收。</w:t>
      </w:r>
    </w:p>
    <w:p>
      <w:pPr>
        <w:pStyle w:val="517"/>
        <w:spacing w:line="460" w:lineRule="exact"/>
        <w:ind w:firstLine="482" w:firstLineChars="200"/>
        <w:jc w:val="both"/>
        <w:rPr>
          <w:rStyle w:val="518"/>
          <w:rFonts w:ascii="Cambria Math" w:hAnsi="Cambria Math"/>
          <w:b/>
          <w:bCs/>
          <w:i w:val="0"/>
          <w:color w:val="auto"/>
          <w:szCs w:val="24"/>
        </w:rPr>
      </w:pPr>
      <w:r>
        <w:rPr>
          <w:rStyle w:val="518"/>
          <w:rFonts w:ascii="Cambria Math" w:hAnsi="Cambria Math"/>
          <w:b/>
          <w:bCs/>
          <w:i w:val="0"/>
          <w:color w:val="auto"/>
          <w:szCs w:val="24"/>
        </w:rPr>
        <w:t>4.保修费用</w:t>
      </w:r>
    </w:p>
    <w:p>
      <w:pPr>
        <w:pStyle w:val="517"/>
        <w:spacing w:line="460" w:lineRule="exact"/>
        <w:ind w:firstLine="480" w:firstLineChars="200"/>
        <w:jc w:val="both"/>
        <w:rPr>
          <w:rStyle w:val="518"/>
          <w:rFonts w:ascii="Cambria Math" w:hAnsi="Cambria Math"/>
          <w:i w:val="0"/>
          <w:color w:val="auto"/>
          <w:szCs w:val="24"/>
        </w:rPr>
      </w:pPr>
      <w:r>
        <w:rPr>
          <w:rStyle w:val="518"/>
          <w:rFonts w:ascii="Cambria Math" w:hAnsi="Cambria Math"/>
          <w:i w:val="0"/>
          <w:color w:val="auto"/>
          <w:szCs w:val="24"/>
        </w:rPr>
        <w:t>4.1.保修费用由造成质量缺陷的责任方承担。</w:t>
      </w:r>
    </w:p>
    <w:p>
      <w:pPr>
        <w:autoSpaceDE w:val="0"/>
        <w:autoSpaceDN w:val="0"/>
        <w:adjustRightInd w:val="0"/>
        <w:spacing w:line="460" w:lineRule="exact"/>
        <w:ind w:firstLine="480" w:firstLineChars="200"/>
        <w:rPr>
          <w:rFonts w:ascii="Cambria Math" w:hAnsi="Cambria Math"/>
          <w:color w:val="auto"/>
          <w:kern w:val="0"/>
          <w:sz w:val="24"/>
        </w:rPr>
      </w:pPr>
      <w:r>
        <w:rPr>
          <w:rFonts w:ascii="Cambria Math" w:hAnsi="Cambria Math"/>
          <w:color w:val="auto"/>
          <w:kern w:val="0"/>
          <w:sz w:val="24"/>
        </w:rPr>
        <w:t xml:space="preserve">4.2 </w:t>
      </w:r>
      <w:r>
        <w:rPr>
          <w:rStyle w:val="518"/>
          <w:rFonts w:ascii="Cambria Math" w:hAnsi="Cambria Math"/>
          <w:i w:val="0"/>
          <w:iCs/>
          <w:color w:val="auto"/>
          <w:sz w:val="24"/>
        </w:rPr>
        <w:t>工程质量保修金为工程总价（审计后）的</w:t>
      </w:r>
      <w:r>
        <w:rPr>
          <w:rStyle w:val="518"/>
          <w:rFonts w:hint="eastAsia" w:ascii="Cambria Math" w:hAnsi="Cambria Math"/>
          <w:i w:val="0"/>
          <w:iCs/>
          <w:color w:val="auto"/>
          <w:sz w:val="24"/>
        </w:rPr>
        <w:t>3</w:t>
      </w:r>
      <w:r>
        <w:rPr>
          <w:rStyle w:val="518"/>
          <w:rFonts w:ascii="Cambria Math" w:hAnsi="Cambria Math"/>
          <w:i w:val="0"/>
          <w:iCs/>
          <w:color w:val="auto"/>
          <w:sz w:val="24"/>
        </w:rPr>
        <w:t>%,保修费从工程质量保修金内扣除。</w:t>
      </w:r>
    </w:p>
    <w:p>
      <w:pPr>
        <w:pStyle w:val="517"/>
        <w:spacing w:line="460" w:lineRule="exact"/>
        <w:ind w:firstLine="482" w:firstLineChars="200"/>
        <w:jc w:val="both"/>
        <w:rPr>
          <w:rStyle w:val="518"/>
          <w:rFonts w:ascii="Cambria Math" w:hAnsi="Cambria Math"/>
          <w:b/>
          <w:bCs/>
          <w:i w:val="0"/>
          <w:color w:val="auto"/>
          <w:szCs w:val="24"/>
        </w:rPr>
      </w:pPr>
      <w:r>
        <w:rPr>
          <w:rStyle w:val="518"/>
          <w:rFonts w:ascii="Cambria Math" w:hAnsi="Cambria Math"/>
          <w:b/>
          <w:bCs/>
          <w:i w:val="0"/>
          <w:color w:val="auto"/>
          <w:szCs w:val="24"/>
        </w:rPr>
        <w:t>5.其他</w:t>
      </w:r>
    </w:p>
    <w:p>
      <w:pPr>
        <w:pStyle w:val="517"/>
        <w:spacing w:line="460" w:lineRule="exact"/>
        <w:ind w:firstLine="480" w:firstLineChars="200"/>
        <w:rPr>
          <w:rStyle w:val="518"/>
          <w:rFonts w:ascii="Cambria Math" w:hAnsi="Cambria Math"/>
          <w:i w:val="0"/>
          <w:color w:val="auto"/>
          <w:szCs w:val="24"/>
        </w:rPr>
      </w:pPr>
      <w:r>
        <w:rPr>
          <w:rStyle w:val="518"/>
          <w:rFonts w:ascii="Cambria Math" w:hAnsi="Cambria Math"/>
          <w:i w:val="0"/>
          <w:color w:val="auto"/>
          <w:szCs w:val="24"/>
        </w:rPr>
        <w:t>5.1.双方约定的其他工程质量保修事项：</w:t>
      </w:r>
    </w:p>
    <w:p>
      <w:pPr>
        <w:pStyle w:val="517"/>
        <w:spacing w:line="460" w:lineRule="exact"/>
        <w:ind w:firstLine="480" w:firstLineChars="200"/>
        <w:rPr>
          <w:rStyle w:val="518"/>
          <w:rFonts w:ascii="Cambria Math" w:hAnsi="Cambria Math"/>
          <w:i w:val="0"/>
          <w:color w:val="auto"/>
          <w:szCs w:val="24"/>
        </w:rPr>
      </w:pPr>
      <w:r>
        <w:rPr>
          <w:rStyle w:val="518"/>
          <w:rFonts w:ascii="Cambria Math" w:hAnsi="Cambria Math"/>
          <w:i w:val="0"/>
          <w:color w:val="auto"/>
          <w:szCs w:val="24"/>
        </w:rPr>
        <w:t xml:space="preserve">5.1.1 本工程双方约定承包人向发包人支付工程质量保修金额为 </w:t>
      </w:r>
      <w:r>
        <w:rPr>
          <w:rStyle w:val="518"/>
          <w:rFonts w:hint="eastAsia" w:ascii="Cambria Math" w:hAnsi="Cambria Math"/>
          <w:i w:val="0"/>
          <w:color w:val="auto"/>
          <w:u w:val="single"/>
          <w:lang w:val="en-US" w:eastAsia="zh-CN"/>
        </w:rPr>
        <w:t xml:space="preserve">   </w:t>
      </w:r>
      <w:r>
        <w:rPr>
          <w:rFonts w:hint="eastAsia" w:ascii="宋体" w:hAnsi="宋体" w:cs="宋体"/>
          <w:b/>
          <w:iCs/>
          <w:color w:val="auto"/>
          <w:kern w:val="0"/>
          <w:sz w:val="24"/>
          <w:u w:val="single"/>
        </w:rPr>
        <w:t xml:space="preserve">/ </w:t>
      </w:r>
      <w:r>
        <w:rPr>
          <w:rStyle w:val="518"/>
          <w:rFonts w:hint="eastAsia" w:ascii="Cambria Math" w:hAnsi="Cambria Math"/>
          <w:i w:val="0"/>
          <w:color w:val="auto"/>
          <w:u w:val="single"/>
          <w:lang w:val="en-US" w:eastAsia="zh-CN"/>
        </w:rPr>
        <w:t xml:space="preserve">   。</w:t>
      </w:r>
      <w:r>
        <w:rPr>
          <w:rStyle w:val="518"/>
          <w:rFonts w:ascii="Cambria Math" w:hAnsi="Cambria Math"/>
          <w:i w:val="0"/>
          <w:color w:val="auto"/>
          <w:szCs w:val="24"/>
        </w:rPr>
        <w:t xml:space="preserve"> </w:t>
      </w:r>
    </w:p>
    <w:p>
      <w:pPr>
        <w:pStyle w:val="517"/>
        <w:spacing w:line="460" w:lineRule="exact"/>
        <w:ind w:firstLine="480" w:firstLineChars="200"/>
        <w:rPr>
          <w:rStyle w:val="518"/>
          <w:rFonts w:ascii="Cambria Math" w:hAnsi="Cambria Math"/>
          <w:i w:val="0"/>
          <w:color w:val="auto"/>
          <w:szCs w:val="24"/>
        </w:rPr>
      </w:pPr>
      <w:r>
        <w:rPr>
          <w:rStyle w:val="518"/>
          <w:rFonts w:ascii="Cambria Math" w:hAnsi="Cambria Math"/>
          <w:i w:val="0"/>
          <w:color w:val="auto"/>
          <w:szCs w:val="24"/>
        </w:rPr>
        <w:t>5.1.2 质量保修金额的返还：工程质量保修期满</w:t>
      </w:r>
      <w:r>
        <w:rPr>
          <w:rStyle w:val="518"/>
          <w:rFonts w:hint="eastAsia" w:ascii="Cambria Math" w:hAnsi="Cambria Math"/>
          <w:i w:val="0"/>
          <w:color w:val="auto"/>
          <w:szCs w:val="24"/>
        </w:rPr>
        <w:t>后</w:t>
      </w:r>
      <w:r>
        <w:rPr>
          <w:rStyle w:val="518"/>
          <w:rFonts w:ascii="Cambria Math" w:hAnsi="Cambria Math"/>
          <w:i w:val="0"/>
          <w:color w:val="auto"/>
          <w:szCs w:val="24"/>
        </w:rPr>
        <w:t>返还剩余质量保修金额。</w:t>
      </w:r>
    </w:p>
    <w:p>
      <w:pPr>
        <w:pStyle w:val="517"/>
        <w:spacing w:line="460" w:lineRule="exact"/>
        <w:ind w:firstLine="480" w:firstLineChars="200"/>
        <w:rPr>
          <w:rStyle w:val="518"/>
          <w:rFonts w:ascii="Cambria Math" w:hAnsi="Cambria Math"/>
          <w:i w:val="0"/>
          <w:color w:val="auto"/>
          <w:szCs w:val="24"/>
        </w:rPr>
      </w:pPr>
      <w:r>
        <w:rPr>
          <w:rStyle w:val="518"/>
          <w:rFonts w:ascii="Cambria Math" w:hAnsi="Cambria Math"/>
          <w:i w:val="0"/>
          <w:color w:val="auto"/>
          <w:szCs w:val="24"/>
        </w:rPr>
        <w:t xml:space="preserve">5.1.3 质量保修金额不计利息。        </w:t>
      </w:r>
    </w:p>
    <w:p>
      <w:pPr>
        <w:pStyle w:val="517"/>
        <w:spacing w:line="460" w:lineRule="exact"/>
        <w:ind w:firstLine="480" w:firstLineChars="200"/>
        <w:rPr>
          <w:rStyle w:val="518"/>
          <w:rFonts w:ascii="Cambria Math" w:hAnsi="Cambria Math"/>
          <w:i w:val="0"/>
          <w:color w:val="auto"/>
          <w:szCs w:val="24"/>
        </w:rPr>
      </w:pPr>
      <w:r>
        <w:rPr>
          <w:rStyle w:val="518"/>
          <w:rFonts w:ascii="Cambria Math" w:hAnsi="Cambria Math"/>
          <w:i w:val="0"/>
          <w:color w:val="auto"/>
          <w:szCs w:val="24"/>
        </w:rPr>
        <w:t>5.1.5 因承包人未能及时履行保修责任引起发包人的一切损失，均由承包人承担。若同一部位发生同样的质量问题，</w:t>
      </w:r>
      <w:r>
        <w:rPr>
          <w:rStyle w:val="518"/>
          <w:rFonts w:hint="eastAsia" w:ascii="Cambria Math" w:hAnsi="Cambria Math"/>
          <w:i w:val="0"/>
          <w:color w:val="auto"/>
          <w:szCs w:val="24"/>
          <w:lang w:eastAsia="zh-CN"/>
        </w:rPr>
        <w:t>发包人</w:t>
      </w:r>
      <w:r>
        <w:rPr>
          <w:rStyle w:val="518"/>
          <w:rFonts w:hint="eastAsia" w:ascii="Cambria Math" w:hAnsi="Cambria Math"/>
          <w:i w:val="0"/>
          <w:color w:val="auto"/>
          <w:szCs w:val="24"/>
        </w:rPr>
        <w:t>有权另行聘请</w:t>
      </w:r>
      <w:r>
        <w:rPr>
          <w:rStyle w:val="518"/>
          <w:rFonts w:hint="eastAsia" w:ascii="Cambria Math" w:hAnsi="Cambria Math"/>
          <w:i w:val="0"/>
          <w:color w:val="auto"/>
          <w:szCs w:val="24"/>
          <w:lang w:eastAsia="zh-CN"/>
        </w:rPr>
        <w:t>其他</w:t>
      </w:r>
      <w:r>
        <w:rPr>
          <w:rStyle w:val="518"/>
          <w:rFonts w:hint="eastAsia" w:ascii="Cambria Math" w:hAnsi="Cambria Math"/>
          <w:i w:val="0"/>
          <w:color w:val="auto"/>
          <w:szCs w:val="24"/>
        </w:rPr>
        <w:t>施工单位进行维修</w:t>
      </w:r>
      <w:r>
        <w:rPr>
          <w:rStyle w:val="518"/>
          <w:rFonts w:hint="eastAsia" w:ascii="Cambria Math" w:hAnsi="Cambria Math"/>
          <w:i w:val="0"/>
          <w:color w:val="auto"/>
          <w:szCs w:val="24"/>
          <w:lang w:eastAsia="zh-CN"/>
        </w:rPr>
        <w:t>。</w:t>
      </w:r>
      <w:r>
        <w:rPr>
          <w:rStyle w:val="518"/>
          <w:rFonts w:hint="eastAsia" w:ascii="Cambria Math" w:hAnsi="Cambria Math"/>
          <w:i w:val="0"/>
          <w:color w:val="auto"/>
          <w:szCs w:val="24"/>
        </w:rPr>
        <w:t>由此引起的一切费用和责任由</w:t>
      </w:r>
      <w:r>
        <w:rPr>
          <w:rStyle w:val="518"/>
          <w:rFonts w:ascii="Cambria Math" w:hAnsi="Cambria Math"/>
          <w:i w:val="0"/>
          <w:color w:val="auto"/>
          <w:szCs w:val="24"/>
        </w:rPr>
        <w:t>承包人</w:t>
      </w:r>
      <w:r>
        <w:rPr>
          <w:rStyle w:val="518"/>
          <w:rFonts w:hint="eastAsia" w:ascii="Cambria Math" w:hAnsi="Cambria Math"/>
          <w:i w:val="0"/>
          <w:color w:val="auto"/>
          <w:szCs w:val="24"/>
        </w:rPr>
        <w:t>负责</w:t>
      </w:r>
      <w:r>
        <w:rPr>
          <w:rStyle w:val="518"/>
          <w:rFonts w:hint="eastAsia" w:ascii="Cambria Math" w:hAnsi="Cambria Math"/>
          <w:i w:val="0"/>
          <w:color w:val="auto"/>
          <w:szCs w:val="24"/>
          <w:lang w:eastAsia="zh-CN"/>
        </w:rPr>
        <w:t>，另</w:t>
      </w:r>
      <w:r>
        <w:rPr>
          <w:rStyle w:val="518"/>
          <w:rFonts w:ascii="Cambria Math" w:hAnsi="Cambria Math"/>
          <w:i w:val="0"/>
          <w:color w:val="auto"/>
          <w:szCs w:val="24"/>
        </w:rPr>
        <w:t>支付</w:t>
      </w:r>
      <w:r>
        <w:rPr>
          <w:rStyle w:val="518"/>
          <w:rFonts w:hint="eastAsia" w:ascii="Cambria Math" w:hAnsi="Cambria Math"/>
          <w:i w:val="0"/>
          <w:color w:val="auto"/>
          <w:szCs w:val="24"/>
        </w:rPr>
        <w:t>【</w:t>
      </w:r>
      <w:r>
        <w:rPr>
          <w:rStyle w:val="518"/>
          <w:rFonts w:hint="eastAsia" w:ascii="Cambria Math" w:hAnsi="Cambria Math"/>
          <w:i w:val="0"/>
          <w:color w:val="auto"/>
          <w:szCs w:val="24"/>
          <w:lang w:val="en-US" w:eastAsia="zh-CN"/>
        </w:rPr>
        <w:t>5000</w:t>
      </w:r>
      <w:r>
        <w:rPr>
          <w:rStyle w:val="518"/>
          <w:rFonts w:hint="eastAsia" w:ascii="Cambria Math" w:hAnsi="Cambria Math"/>
          <w:i w:val="0"/>
          <w:color w:val="auto"/>
          <w:szCs w:val="24"/>
        </w:rPr>
        <w:t>】</w:t>
      </w:r>
      <w:r>
        <w:rPr>
          <w:rStyle w:val="518"/>
          <w:rFonts w:ascii="Cambria Math" w:hAnsi="Cambria Math"/>
          <w:i w:val="0"/>
          <w:color w:val="auto"/>
          <w:szCs w:val="24"/>
        </w:rPr>
        <w:t>元违约金。</w:t>
      </w:r>
    </w:p>
    <w:p>
      <w:pPr>
        <w:pStyle w:val="517"/>
        <w:spacing w:line="460" w:lineRule="exact"/>
        <w:ind w:firstLine="480" w:firstLineChars="200"/>
        <w:rPr>
          <w:rStyle w:val="518"/>
          <w:rFonts w:hint="eastAsia" w:ascii="Cambria Math" w:hAnsi="Cambria Math"/>
          <w:i/>
          <w:color w:val="auto"/>
        </w:rPr>
      </w:pPr>
      <w:r>
        <w:rPr>
          <w:rStyle w:val="518"/>
          <w:rFonts w:ascii="Cambria Math" w:hAnsi="Cambria Math"/>
          <w:i w:val="0"/>
          <w:color w:val="auto"/>
          <w:szCs w:val="24"/>
        </w:rPr>
        <w:t xml:space="preserve">5.1.6 </w:t>
      </w:r>
      <w:r>
        <w:rPr>
          <w:rStyle w:val="518"/>
          <w:rFonts w:hint="eastAsia" w:ascii="Cambria Math" w:hAnsi="Cambria Math"/>
          <w:i w:val="0"/>
          <w:color w:val="auto"/>
          <w:szCs w:val="24"/>
        </w:rPr>
        <w:t>承包人在</w:t>
      </w:r>
      <w:r>
        <w:rPr>
          <w:rStyle w:val="518"/>
          <w:rFonts w:ascii="Cambria Math" w:hAnsi="Cambria Math"/>
          <w:i w:val="0"/>
          <w:color w:val="auto"/>
          <w:szCs w:val="24"/>
        </w:rPr>
        <w:t>接到</w:t>
      </w:r>
      <w:r>
        <w:rPr>
          <w:rStyle w:val="518"/>
          <w:rFonts w:hint="eastAsia" w:ascii="Cambria Math" w:hAnsi="Cambria Math"/>
          <w:i w:val="0"/>
          <w:color w:val="auto"/>
          <w:szCs w:val="24"/>
        </w:rPr>
        <w:t>报修</w:t>
      </w:r>
      <w:r>
        <w:rPr>
          <w:rStyle w:val="518"/>
          <w:rFonts w:ascii="Cambria Math" w:hAnsi="Cambria Math"/>
          <w:i w:val="0"/>
          <w:color w:val="auto"/>
          <w:szCs w:val="24"/>
        </w:rPr>
        <w:t>通知后</w:t>
      </w:r>
      <w:r>
        <w:rPr>
          <w:rStyle w:val="518"/>
          <w:rFonts w:hint="eastAsia" w:ascii="Cambria Math" w:hAnsi="Cambria Math"/>
          <w:i w:val="0"/>
          <w:color w:val="auto"/>
          <w:szCs w:val="24"/>
        </w:rPr>
        <w:t>，</w:t>
      </w:r>
      <w:r>
        <w:rPr>
          <w:rStyle w:val="518"/>
          <w:rFonts w:ascii="Cambria Math" w:hAnsi="Cambria Math"/>
          <w:i w:val="0"/>
          <w:color w:val="auto"/>
          <w:szCs w:val="24"/>
        </w:rPr>
        <w:t>除人力不可抗拒原因外</w:t>
      </w:r>
      <w:r>
        <w:rPr>
          <w:rStyle w:val="518"/>
          <w:rFonts w:hint="eastAsia" w:ascii="Cambria Math" w:hAnsi="Cambria Math"/>
          <w:i w:val="0"/>
          <w:color w:val="auto"/>
          <w:szCs w:val="24"/>
        </w:rPr>
        <w:t>，</w:t>
      </w:r>
      <w:r>
        <w:rPr>
          <w:rStyle w:val="518"/>
          <w:rFonts w:ascii="Cambria Math" w:hAnsi="Cambria Math"/>
          <w:i w:val="0"/>
          <w:color w:val="auto"/>
          <w:szCs w:val="24"/>
        </w:rPr>
        <w:t>1小时内赶到现场并于2小时内完成应急处理</w:t>
      </w:r>
      <w:r>
        <w:rPr>
          <w:rStyle w:val="518"/>
          <w:rFonts w:hint="eastAsia" w:ascii="Cambria Math" w:hAnsi="Cambria Math"/>
          <w:i w:val="0"/>
          <w:color w:val="auto"/>
          <w:szCs w:val="24"/>
        </w:rPr>
        <w:t>，</w:t>
      </w:r>
      <w:r>
        <w:rPr>
          <w:rStyle w:val="518"/>
          <w:rFonts w:ascii="Cambria Math" w:hAnsi="Cambria Math"/>
          <w:i w:val="0"/>
          <w:color w:val="auto"/>
          <w:szCs w:val="24"/>
        </w:rPr>
        <w:t>若</w:t>
      </w:r>
      <w:r>
        <w:rPr>
          <w:rStyle w:val="518"/>
          <w:rFonts w:hint="eastAsia" w:ascii="Cambria Math" w:hAnsi="Cambria Math"/>
          <w:i w:val="0"/>
          <w:color w:val="auto"/>
          <w:szCs w:val="24"/>
        </w:rPr>
        <w:t>在该时间内未到现场处理完毕，</w:t>
      </w:r>
      <w:r>
        <w:rPr>
          <w:rStyle w:val="518"/>
          <w:rFonts w:ascii="Cambria Math" w:hAnsi="Cambria Math"/>
          <w:i w:val="0"/>
          <w:color w:val="auto"/>
          <w:szCs w:val="24"/>
        </w:rPr>
        <w:t>将支付</w:t>
      </w:r>
      <w:r>
        <w:rPr>
          <w:rStyle w:val="518"/>
          <w:rFonts w:hint="eastAsia" w:ascii="Cambria Math" w:hAnsi="Cambria Math"/>
          <w:i w:val="0"/>
          <w:color w:val="auto"/>
          <w:szCs w:val="24"/>
        </w:rPr>
        <w:t>每次【</w:t>
      </w:r>
      <w:r>
        <w:rPr>
          <w:rStyle w:val="518"/>
          <w:rFonts w:hint="eastAsia" w:ascii="Cambria Math" w:hAnsi="Cambria Math" w:eastAsiaTheme="minorEastAsia" w:cstheme="minorBidi"/>
          <w:i w:val="0"/>
          <w:color w:val="auto"/>
          <w:szCs w:val="24"/>
          <w:lang w:val="en-US" w:eastAsia="zh-CN"/>
        </w:rPr>
        <w:t>5000</w:t>
      </w:r>
      <w:r>
        <w:rPr>
          <w:rStyle w:val="518"/>
          <w:rFonts w:hint="eastAsia" w:ascii="Cambria Math" w:hAnsi="Cambria Math"/>
          <w:i w:val="0"/>
          <w:color w:val="auto"/>
          <w:szCs w:val="24"/>
        </w:rPr>
        <w:t>】</w:t>
      </w:r>
      <w:r>
        <w:rPr>
          <w:rStyle w:val="518"/>
          <w:rFonts w:ascii="Cambria Math" w:hAnsi="Cambria Math"/>
          <w:i w:val="0"/>
          <w:color w:val="auto"/>
          <w:szCs w:val="24"/>
        </w:rPr>
        <w:t>元违约金</w:t>
      </w:r>
      <w:r>
        <w:rPr>
          <w:rStyle w:val="518"/>
          <w:rFonts w:hint="eastAsia" w:ascii="Cambria Math" w:hAnsi="Cambria Math"/>
          <w:i w:val="0"/>
          <w:color w:val="auto"/>
          <w:szCs w:val="24"/>
        </w:rPr>
        <w:t>。</w:t>
      </w:r>
    </w:p>
    <w:p>
      <w:pPr>
        <w:spacing w:line="460" w:lineRule="exact"/>
        <w:ind w:firstLine="480" w:firstLineChars="200"/>
        <w:rPr>
          <w:rFonts w:hint="eastAsia" w:ascii="Cambria Math" w:hAnsi="Cambria Math"/>
          <w:color w:val="auto"/>
          <w:sz w:val="24"/>
        </w:rPr>
      </w:pPr>
      <w:r>
        <w:rPr>
          <w:rFonts w:hint="eastAsia" w:ascii="Cambria Math" w:hAnsi="Cambria Math"/>
          <w:color w:val="auto"/>
          <w:sz w:val="24"/>
        </w:rPr>
        <w:t>5.1.7在维保期内，提供每月一次电话回访，每季度一次免费巡检服务，发现问题及时解决；若货物故障在检修2工作小时后仍无法排除，承包人承诺在24小时内免费提供不低于故障货物规格型号档次的备用货物供甲方使用，直至故障货物修复；</w:t>
      </w:r>
    </w:p>
    <w:p>
      <w:pPr>
        <w:spacing w:line="460" w:lineRule="exact"/>
        <w:ind w:firstLine="480" w:firstLineChars="200"/>
        <w:rPr>
          <w:rFonts w:hint="eastAsia" w:ascii="Cambria Math" w:hAnsi="Cambria Math"/>
          <w:color w:val="auto"/>
          <w:sz w:val="24"/>
        </w:rPr>
      </w:pPr>
      <w:r>
        <w:rPr>
          <w:rFonts w:hint="eastAsia" w:ascii="Cambria Math" w:hAnsi="Cambria Math"/>
          <w:color w:val="auto"/>
          <w:sz w:val="24"/>
        </w:rPr>
        <w:t>5.1.8提供7*24小时免费上门服务，接到用户通报故障的电话或传真后1小时之内响应服务，1小时内能到现场解决问题；填写巡视记录、网络检修记录、故障报修记录，并通知相关负责人确认。</w:t>
      </w:r>
    </w:p>
    <w:p>
      <w:pPr>
        <w:spacing w:line="460" w:lineRule="exact"/>
        <w:ind w:firstLine="420" w:firstLineChars="200"/>
        <w:rPr>
          <w:rFonts w:hint="eastAsia" w:ascii="Cambria Math" w:hAnsi="Cambria Math"/>
          <w:color w:val="auto"/>
          <w:sz w:val="24"/>
        </w:rPr>
      </w:pPr>
      <w:r>
        <w:rPr>
          <w:rStyle w:val="518"/>
          <w:rFonts w:ascii="Cambria Math" w:hAnsi="Cambria Math"/>
          <w:i w:val="0"/>
          <w:color w:val="auto"/>
          <w:szCs w:val="24"/>
        </w:rPr>
        <w:t>5.</w:t>
      </w:r>
      <w:r>
        <w:rPr>
          <w:rStyle w:val="518"/>
          <w:rFonts w:hint="eastAsia" w:ascii="Cambria Math" w:hAnsi="Cambria Math"/>
          <w:i w:val="0"/>
          <w:color w:val="auto"/>
          <w:szCs w:val="24"/>
        </w:rPr>
        <w:t>1</w:t>
      </w:r>
      <w:r>
        <w:rPr>
          <w:rStyle w:val="518"/>
          <w:rFonts w:ascii="Cambria Math" w:hAnsi="Cambria Math"/>
          <w:i w:val="0"/>
          <w:color w:val="auto"/>
          <w:szCs w:val="24"/>
        </w:rPr>
        <w:t>.</w:t>
      </w:r>
      <w:r>
        <w:rPr>
          <w:rStyle w:val="518"/>
          <w:rFonts w:hint="eastAsia" w:ascii="Cambria Math" w:hAnsi="Cambria Math"/>
          <w:i w:val="0"/>
          <w:color w:val="auto"/>
          <w:szCs w:val="24"/>
        </w:rPr>
        <w:t>9承包人</w:t>
      </w:r>
      <w:r>
        <w:rPr>
          <w:rFonts w:hint="eastAsia" w:ascii="Cambria Math" w:hAnsi="Cambria Math"/>
          <w:color w:val="auto"/>
          <w:sz w:val="24"/>
        </w:rPr>
        <w:t>在工程质量投诉处理过程中不得推诿、拖延、不准时、不履行对</w:t>
      </w:r>
      <w:r>
        <w:rPr>
          <w:rFonts w:hint="eastAsia" w:ascii="Cambria Math" w:hAnsi="Cambria Math"/>
          <w:color w:val="auto"/>
          <w:sz w:val="24"/>
          <w:lang w:eastAsia="zh-CN"/>
        </w:rPr>
        <w:t>发包人的</w:t>
      </w:r>
      <w:r>
        <w:rPr>
          <w:rFonts w:hint="eastAsia" w:ascii="Cambria Math" w:hAnsi="Cambria Math"/>
          <w:color w:val="auto"/>
          <w:sz w:val="24"/>
        </w:rPr>
        <w:t>约定或承诺；不得使用不合格的维修材料及偷工减料的行为。</w:t>
      </w:r>
    </w:p>
    <w:p>
      <w:pPr>
        <w:pStyle w:val="517"/>
        <w:spacing w:line="460" w:lineRule="exact"/>
        <w:ind w:firstLine="480" w:firstLineChars="200"/>
        <w:rPr>
          <w:rStyle w:val="518"/>
          <w:rFonts w:ascii="Cambria Math" w:hAnsi="Cambria Math"/>
          <w:i w:val="0"/>
          <w:color w:val="auto"/>
          <w:szCs w:val="24"/>
        </w:rPr>
      </w:pPr>
      <w:r>
        <w:rPr>
          <w:rStyle w:val="518"/>
          <w:rFonts w:ascii="Cambria Math" w:hAnsi="Cambria Math"/>
          <w:i w:val="0"/>
          <w:color w:val="auto"/>
          <w:szCs w:val="24"/>
        </w:rPr>
        <w:t>5.</w:t>
      </w:r>
      <w:r>
        <w:rPr>
          <w:rStyle w:val="518"/>
          <w:rFonts w:hint="eastAsia" w:ascii="Cambria Math" w:hAnsi="Cambria Math"/>
          <w:i w:val="0"/>
          <w:color w:val="auto"/>
          <w:szCs w:val="24"/>
        </w:rPr>
        <w:t>1</w:t>
      </w:r>
      <w:r>
        <w:rPr>
          <w:rStyle w:val="518"/>
          <w:rFonts w:ascii="Cambria Math" w:hAnsi="Cambria Math"/>
          <w:i w:val="0"/>
          <w:color w:val="auto"/>
          <w:szCs w:val="24"/>
        </w:rPr>
        <w:t>.</w:t>
      </w:r>
      <w:r>
        <w:rPr>
          <w:rStyle w:val="518"/>
          <w:rFonts w:hint="eastAsia" w:ascii="Cambria Math" w:hAnsi="Cambria Math"/>
          <w:i w:val="0"/>
          <w:color w:val="auto"/>
          <w:szCs w:val="24"/>
          <w:lang w:val="en-US" w:eastAsia="zh-CN"/>
        </w:rPr>
        <w:t>10</w:t>
      </w:r>
      <w:r>
        <w:rPr>
          <w:rStyle w:val="518"/>
          <w:rFonts w:ascii="Cambria Math" w:hAnsi="Cambria Math"/>
          <w:i w:val="0"/>
          <w:color w:val="auto"/>
          <w:szCs w:val="24"/>
        </w:rPr>
        <w:t>本工程质量保修书，由施工合同发包人、承包人双方在竣工验收前共同签署，作为施工合同附件，其有效期限至保修期满。</w:t>
      </w:r>
    </w:p>
    <w:p>
      <w:pPr>
        <w:rPr>
          <w:rStyle w:val="518"/>
          <w:rFonts w:ascii="Cambria Math" w:hAnsi="Cambria Math"/>
          <w:i w:val="0"/>
          <w:color w:val="auto"/>
          <w:szCs w:val="24"/>
        </w:rPr>
      </w:pPr>
    </w:p>
    <w:p>
      <w:pPr>
        <w:pStyle w:val="62"/>
        <w:rPr>
          <w:rStyle w:val="518"/>
          <w:rFonts w:ascii="Cambria Math" w:hAnsi="Cambria Math"/>
          <w:i w:val="0"/>
          <w:color w:val="auto"/>
          <w:szCs w:val="24"/>
        </w:rPr>
      </w:pPr>
    </w:p>
    <w:p>
      <w:pPr>
        <w:rPr>
          <w:rStyle w:val="518"/>
          <w:rFonts w:ascii="Cambria Math" w:hAnsi="Cambria Math"/>
          <w:i w:val="0"/>
          <w:color w:val="auto"/>
          <w:szCs w:val="24"/>
        </w:rPr>
      </w:pPr>
    </w:p>
    <w:p>
      <w:pPr>
        <w:pStyle w:val="62"/>
      </w:pPr>
    </w:p>
    <w:p>
      <w:pPr>
        <w:spacing w:line="460" w:lineRule="exact"/>
        <w:ind w:firstLine="480" w:firstLineChars="200"/>
        <w:rPr>
          <w:rFonts w:hint="eastAsia" w:ascii="Cambria Math" w:hAnsi="Cambria Math"/>
          <w:color w:val="auto"/>
          <w:sz w:val="24"/>
        </w:rPr>
      </w:pPr>
    </w:p>
    <w:bookmarkEnd w:id="807"/>
    <w:bookmarkEnd w:id="808"/>
    <w:bookmarkEnd w:id="809"/>
    <w:bookmarkEnd w:id="810"/>
    <w:bookmarkEnd w:id="811"/>
    <w:bookmarkEnd w:id="812"/>
    <w:bookmarkEnd w:id="813"/>
    <w:bookmarkEnd w:id="814"/>
    <w:tbl>
      <w:tblPr>
        <w:tblStyle w:val="51"/>
        <w:tblW w:w="0" w:type="auto"/>
        <w:tblInd w:w="0" w:type="dxa"/>
        <w:tblLayout w:type="autofit"/>
        <w:tblCellMar>
          <w:top w:w="0" w:type="dxa"/>
          <w:left w:w="108" w:type="dxa"/>
          <w:bottom w:w="0" w:type="dxa"/>
          <w:right w:w="108" w:type="dxa"/>
        </w:tblCellMar>
      </w:tblPr>
      <w:tblGrid>
        <w:gridCol w:w="4541"/>
        <w:gridCol w:w="4747"/>
      </w:tblGrid>
      <w:tr>
        <w:tblPrEx>
          <w:tblCellMar>
            <w:top w:w="0" w:type="dxa"/>
            <w:left w:w="108" w:type="dxa"/>
            <w:bottom w:w="0" w:type="dxa"/>
            <w:right w:w="108" w:type="dxa"/>
          </w:tblCellMar>
        </w:tblPrEx>
        <w:tc>
          <w:tcPr>
            <w:tcW w:w="4801" w:type="dxa"/>
            <w:noWrap w:val="0"/>
            <w:vAlign w:val="top"/>
          </w:tcPr>
          <w:p>
            <w:pPr>
              <w:spacing w:line="360" w:lineRule="auto"/>
              <w:rPr>
                <w:rFonts w:hint="eastAsia" w:ascii="宋体" w:hAnsi="宋体" w:eastAsia="宋体" w:cs="宋体"/>
                <w:color w:val="auto"/>
                <w:sz w:val="24"/>
                <w:lang w:eastAsia="zh-CN"/>
              </w:rPr>
            </w:pPr>
            <w:r>
              <w:rPr>
                <w:rFonts w:hint="eastAsia" w:ascii="宋体" w:hAnsi="宋体"/>
                <w:color w:val="auto"/>
                <w:sz w:val="24"/>
              </w:rPr>
              <w:t>发包人：</w:t>
            </w:r>
            <w:r>
              <w:rPr>
                <w:rFonts w:hint="eastAsia" w:ascii="宋体" w:hAnsi="宋体" w:cs="MingLiU_HKSCS"/>
                <w:color w:val="auto"/>
                <w:sz w:val="24"/>
                <w:lang w:eastAsia="zh-CN"/>
              </w:rPr>
              <w:t>常州市西太湖旅游发展有限公司</w:t>
            </w:r>
          </w:p>
          <w:p>
            <w:pPr>
              <w:spacing w:line="360" w:lineRule="auto"/>
              <w:rPr>
                <w:rFonts w:hint="eastAsia" w:ascii="宋体" w:hAnsi="宋体" w:cs="宋体"/>
                <w:color w:val="auto"/>
                <w:sz w:val="24"/>
              </w:rPr>
            </w:pPr>
            <w:r>
              <w:rPr>
                <w:rFonts w:hint="eastAsia" w:ascii="宋体" w:hAnsi="宋体" w:cs="宋体"/>
                <w:color w:val="auto"/>
                <w:sz w:val="24"/>
              </w:rPr>
              <w:t>（盖章）</w:t>
            </w:r>
          </w:p>
          <w:p>
            <w:pPr>
              <w:pStyle w:val="62"/>
              <w:widowControl w:val="0"/>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法定代表人或其委托代理人：</w:t>
            </w:r>
          </w:p>
          <w:p>
            <w:pPr>
              <w:pStyle w:val="62"/>
              <w:widowControl w:val="0"/>
              <w:spacing w:line="360" w:lineRule="auto"/>
              <w:ind w:firstLine="0"/>
              <w:rPr>
                <w:rFonts w:hint="eastAsia" w:hAnsi="宋体" w:cs="宋体"/>
                <w:color w:val="auto"/>
                <w:sz w:val="24"/>
                <w:szCs w:val="24"/>
              </w:rPr>
            </w:pPr>
            <w:r>
              <w:rPr>
                <w:rFonts w:hint="eastAsia" w:hAnsi="宋体" w:cs="宋体"/>
                <w:color w:val="auto"/>
                <w:sz w:val="24"/>
                <w:szCs w:val="24"/>
              </w:rPr>
              <w:t>（签字）</w:t>
            </w:r>
          </w:p>
          <w:p>
            <w:pPr>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单位地址：</w:t>
            </w:r>
          </w:p>
          <w:p>
            <w:pPr>
              <w:spacing w:line="360" w:lineRule="auto"/>
              <w:rPr>
                <w:rFonts w:hint="eastAsia" w:ascii="宋体" w:hAnsi="宋体" w:cs="宋体"/>
                <w:color w:val="auto"/>
                <w:sz w:val="24"/>
              </w:rPr>
            </w:pPr>
            <w:r>
              <w:rPr>
                <w:rFonts w:hint="eastAsia" w:ascii="宋体" w:hAnsi="宋体" w:cs="宋体"/>
                <w:color w:val="auto"/>
                <w:sz w:val="24"/>
              </w:rPr>
              <w:t xml:space="preserve">电话： </w:t>
            </w:r>
          </w:p>
          <w:p>
            <w:pPr>
              <w:spacing w:line="360" w:lineRule="auto"/>
              <w:rPr>
                <w:rFonts w:hint="eastAsia" w:ascii="宋体" w:hAnsi="宋体" w:cs="宋体"/>
                <w:color w:val="auto"/>
                <w:sz w:val="24"/>
              </w:rPr>
            </w:pPr>
            <w:r>
              <w:rPr>
                <w:rFonts w:hint="eastAsia" w:ascii="宋体" w:hAnsi="宋体"/>
                <w:color w:val="auto"/>
                <w:sz w:val="24"/>
              </w:rPr>
              <w:t>传真：</w:t>
            </w:r>
          </w:p>
          <w:p>
            <w:pPr>
              <w:spacing w:line="360" w:lineRule="auto"/>
              <w:rPr>
                <w:rFonts w:hint="eastAsia" w:ascii="宋体" w:hAnsi="宋体" w:cs="宋体"/>
                <w:color w:val="auto"/>
                <w:sz w:val="24"/>
              </w:rPr>
            </w:pPr>
            <w:r>
              <w:rPr>
                <w:rFonts w:hint="eastAsia" w:ascii="宋体" w:hAnsi="宋体"/>
                <w:color w:val="auto"/>
                <w:sz w:val="24"/>
              </w:rPr>
              <w:t>邮政编码：</w:t>
            </w:r>
          </w:p>
        </w:tc>
        <w:tc>
          <w:tcPr>
            <w:tcW w:w="4935"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承包人：（盖章）</w:t>
            </w:r>
          </w:p>
          <w:p>
            <w:pPr>
              <w:pStyle w:val="62"/>
              <w:widowControl w:val="0"/>
              <w:rPr>
                <w:rFonts w:hint="eastAsia"/>
                <w:color w:val="auto"/>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法定代表人或其委托代理人：</w:t>
            </w:r>
          </w:p>
          <w:p>
            <w:pPr>
              <w:pStyle w:val="62"/>
              <w:widowControl w:val="0"/>
              <w:spacing w:line="360" w:lineRule="auto"/>
              <w:ind w:firstLine="0"/>
              <w:rPr>
                <w:rFonts w:hint="eastAsia" w:hAnsi="宋体" w:cs="宋体"/>
                <w:color w:val="auto"/>
                <w:sz w:val="24"/>
                <w:szCs w:val="24"/>
              </w:rPr>
            </w:pPr>
            <w:r>
              <w:rPr>
                <w:rFonts w:hint="eastAsia" w:hAnsi="宋体" w:cs="宋体"/>
                <w:color w:val="auto"/>
                <w:sz w:val="24"/>
                <w:szCs w:val="24"/>
              </w:rPr>
              <w:t>（签字）</w:t>
            </w:r>
          </w:p>
          <w:p>
            <w:pPr>
              <w:rPr>
                <w:rFonts w:hint="eastAsia"/>
                <w:color w:val="auto"/>
              </w:rPr>
            </w:pPr>
          </w:p>
          <w:p>
            <w:pPr>
              <w:spacing w:line="360" w:lineRule="auto"/>
              <w:ind w:left="1440" w:hanging="1440" w:hangingChars="600"/>
              <w:rPr>
                <w:rFonts w:hint="default" w:ascii="宋体" w:hAnsi="宋体" w:eastAsia="宋体" w:cs="宋体"/>
                <w:color w:val="auto"/>
                <w:sz w:val="24"/>
                <w:lang w:val="en-US" w:eastAsia="zh-CN"/>
              </w:rPr>
            </w:pPr>
            <w:r>
              <w:rPr>
                <w:rFonts w:hint="eastAsia" w:ascii="宋体" w:hAnsi="宋体" w:cs="宋体"/>
                <w:color w:val="auto"/>
                <w:sz w:val="24"/>
              </w:rPr>
              <w:t>单位地址：</w:t>
            </w:r>
          </w:p>
          <w:p>
            <w:pPr>
              <w:spacing w:line="360" w:lineRule="auto"/>
              <w:rPr>
                <w:rFonts w:hint="eastAsia" w:ascii="宋体" w:hAnsi="宋体" w:cs="宋体"/>
                <w:color w:val="auto"/>
                <w:sz w:val="24"/>
              </w:rPr>
            </w:pPr>
            <w:r>
              <w:rPr>
                <w:rFonts w:hint="eastAsia" w:ascii="宋体" w:hAnsi="宋体" w:cs="宋体"/>
                <w:color w:val="auto"/>
                <w:sz w:val="24"/>
              </w:rPr>
              <w:t>电话：</w:t>
            </w:r>
          </w:p>
          <w:p>
            <w:pPr>
              <w:spacing w:line="360" w:lineRule="auto"/>
              <w:rPr>
                <w:rFonts w:hint="eastAsia" w:ascii="宋体" w:hAnsi="宋体"/>
                <w:color w:val="auto"/>
                <w:sz w:val="24"/>
              </w:rPr>
            </w:pPr>
            <w:r>
              <w:rPr>
                <w:rFonts w:hint="eastAsia" w:ascii="宋体" w:hAnsi="宋体"/>
                <w:color w:val="auto"/>
                <w:sz w:val="24"/>
              </w:rPr>
              <w:t>传真：</w:t>
            </w:r>
          </w:p>
          <w:p>
            <w:pPr>
              <w:spacing w:line="360" w:lineRule="auto"/>
              <w:rPr>
                <w:rFonts w:hint="eastAsia" w:ascii="宋体" w:hAnsi="宋体" w:cs="宋体"/>
                <w:color w:val="auto"/>
                <w:sz w:val="24"/>
              </w:rPr>
            </w:pPr>
            <w:r>
              <w:rPr>
                <w:rFonts w:hint="eastAsia" w:ascii="宋体" w:hAnsi="宋体"/>
                <w:color w:val="auto"/>
                <w:sz w:val="24"/>
              </w:rPr>
              <w:t>邮政编码：</w:t>
            </w:r>
          </w:p>
          <w:p>
            <w:pPr>
              <w:spacing w:line="360" w:lineRule="auto"/>
              <w:rPr>
                <w:rFonts w:ascii="宋体" w:hAnsi="宋体" w:cs="宋体"/>
                <w:color w:val="auto"/>
                <w:sz w:val="24"/>
              </w:rPr>
            </w:pPr>
            <w:r>
              <w:rPr>
                <w:rFonts w:hint="eastAsia" w:ascii="宋体" w:hAnsi="宋体" w:cs="宋体"/>
                <w:color w:val="auto"/>
                <w:sz w:val="24"/>
              </w:rPr>
              <w:t>开户银行：</w:t>
            </w:r>
          </w:p>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账号：</w:t>
            </w:r>
          </w:p>
        </w:tc>
      </w:tr>
    </w:tbl>
    <w:p>
      <w:pPr>
        <w:pStyle w:val="117"/>
        <w:adjustRightInd w:val="0"/>
        <w:spacing w:line="360" w:lineRule="auto"/>
        <w:ind w:firstLine="734"/>
        <w:contextualSpacing/>
        <w:rPr>
          <w:b/>
          <w:color w:val="auto"/>
          <w:sz w:val="36"/>
          <w:szCs w:val="36"/>
        </w:rPr>
      </w:pPr>
    </w:p>
    <w:p>
      <w:pPr>
        <w:pStyle w:val="117"/>
        <w:adjustRightInd w:val="0"/>
        <w:spacing w:line="360" w:lineRule="auto"/>
        <w:ind w:left="0" w:leftChars="0" w:firstLine="0" w:firstLineChars="0"/>
        <w:contextualSpacing/>
        <w:jc w:val="both"/>
        <w:rPr>
          <w:b/>
          <w:color w:val="auto"/>
          <w:sz w:val="36"/>
          <w:szCs w:val="36"/>
        </w:rPr>
      </w:pPr>
    </w:p>
    <w:p>
      <w:pPr>
        <w:widowControl/>
        <w:adjustRightInd w:val="0"/>
        <w:spacing w:line="400" w:lineRule="exact"/>
        <w:ind w:firstLine="420"/>
        <w:jc w:val="left"/>
        <w:rPr>
          <w:rFonts w:ascii="宋体" w:hAnsi="宋体"/>
          <w:bCs/>
          <w:color w:val="auto"/>
          <w:sz w:val="24"/>
        </w:rPr>
      </w:pPr>
    </w:p>
    <w:p>
      <w:pPr>
        <w:rPr>
          <w:rFonts w:hint="eastAsia"/>
          <w:lang w:val="en-US" w:eastAsia="zh-CN"/>
        </w:rPr>
      </w:pPr>
      <w:r>
        <w:rPr>
          <w:rFonts w:hint="eastAsia"/>
          <w:lang w:val="en-US" w:eastAsia="zh-CN"/>
        </w:rPr>
        <w:br w:type="page"/>
      </w:r>
    </w:p>
    <w:p>
      <w:pPr>
        <w:rPr>
          <w:rFonts w:hint="eastAsia"/>
          <w:lang w:val="en-US" w:eastAsia="zh-CN"/>
        </w:rPr>
      </w:pPr>
    </w:p>
    <w:p>
      <w:pPr>
        <w:spacing w:line="360" w:lineRule="auto"/>
        <w:jc w:val="center"/>
        <w:outlineLvl w:val="0"/>
        <w:rPr>
          <w:b/>
          <w:sz w:val="36"/>
          <w:szCs w:val="36"/>
          <w:highlight w:val="none"/>
        </w:rPr>
      </w:pPr>
      <w:r>
        <w:rPr>
          <w:b/>
          <w:sz w:val="36"/>
          <w:szCs w:val="36"/>
          <w:highlight w:val="none"/>
        </w:rPr>
        <w:t>第六章响应文件格式</w:t>
      </w:r>
      <w:bookmarkEnd w:id="685"/>
    </w:p>
    <w:p>
      <w:pPr>
        <w:widowControl/>
        <w:spacing w:line="360" w:lineRule="auto"/>
        <w:jc w:val="left"/>
        <w:rPr>
          <w:b/>
          <w:sz w:val="24"/>
          <w:highlight w:val="none"/>
        </w:rPr>
      </w:pPr>
    </w:p>
    <w:p>
      <w:pPr>
        <w:widowControl/>
        <w:spacing w:line="360" w:lineRule="auto"/>
        <w:jc w:val="left"/>
        <w:rPr>
          <w:b/>
          <w:sz w:val="24"/>
          <w:highlight w:val="none"/>
        </w:rPr>
      </w:pPr>
    </w:p>
    <w:p>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对于竞争性磋商文件中标（成交）记了“实质性格式”文件的，供应商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pPr>
        <w:tabs>
          <w:tab w:val="left" w:pos="900"/>
          <w:tab w:val="left" w:pos="1980"/>
        </w:tabs>
        <w:snapToGrid w:val="0"/>
        <w:spacing w:line="360" w:lineRule="auto"/>
        <w:ind w:left="142"/>
        <w:rPr>
          <w:sz w:val="24"/>
          <w:highlight w:val="none"/>
        </w:rPr>
      </w:pPr>
      <w:r>
        <w:rPr>
          <w:rFonts w:hint="eastAsia"/>
          <w:sz w:val="24"/>
          <w:highlight w:val="none"/>
        </w:rPr>
        <w:t>4、</w:t>
      </w:r>
      <w:r>
        <w:rPr>
          <w:sz w:val="24"/>
          <w:highlight w:val="none"/>
        </w:rPr>
        <w:t>响应文件</w:t>
      </w:r>
      <w:r>
        <w:rPr>
          <w:rFonts w:hint="eastAsia"/>
          <w:sz w:val="24"/>
          <w:highlight w:val="none"/>
        </w:rPr>
        <w:t>必须按要求加盖公章、</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sz w:val="24"/>
          <w:highlight w:val="none"/>
        </w:rPr>
        <w:t>。</w:t>
      </w:r>
    </w:p>
    <w:p>
      <w:pPr>
        <w:tabs>
          <w:tab w:val="left" w:pos="900"/>
          <w:tab w:val="left" w:pos="1980"/>
        </w:tabs>
        <w:snapToGrid w:val="0"/>
        <w:spacing w:line="360" w:lineRule="auto"/>
        <w:ind w:left="142"/>
        <w:rPr>
          <w:sz w:val="24"/>
          <w:highlight w:val="none"/>
        </w:rPr>
      </w:pPr>
    </w:p>
    <w:p>
      <w:pPr>
        <w:widowControl/>
        <w:jc w:val="left"/>
        <w:rPr>
          <w:b/>
          <w:sz w:val="24"/>
          <w:highlight w:val="none"/>
        </w:rPr>
      </w:pPr>
      <w:r>
        <w:rPr>
          <w:sz w:val="24"/>
          <w:highlight w:val="none"/>
        </w:rPr>
        <w:br w:type="page"/>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Pr>
          <w:rFonts w:hint="eastAsia"/>
          <w:b/>
          <w:spacing w:val="20"/>
          <w:sz w:val="24"/>
          <w:highlight w:val="none"/>
        </w:rPr>
        <w:t>1</w:t>
      </w:r>
      <w:r>
        <w:rPr>
          <w:b/>
          <w:spacing w:val="20"/>
          <w:sz w:val="24"/>
          <w:highlight w:val="none"/>
        </w:rPr>
        <w:t>响应文件</w:t>
      </w:r>
      <w:r>
        <w:rPr>
          <w:b/>
          <w:sz w:val="24"/>
          <w:highlight w:val="none"/>
        </w:rPr>
        <w:t>封面</w:t>
      </w:r>
    </w:p>
    <w:p>
      <w:pPr>
        <w:jc w:val="center"/>
        <w:rPr>
          <w:szCs w:val="21"/>
          <w:highlight w:val="none"/>
        </w:rPr>
      </w:pPr>
    </w:p>
    <w:p>
      <w:pPr>
        <w:jc w:val="center"/>
        <w:rPr>
          <w:b/>
          <w:spacing w:val="60"/>
          <w:sz w:val="84"/>
          <w:szCs w:val="84"/>
          <w:highlight w:val="none"/>
        </w:rPr>
      </w:pPr>
      <w:r>
        <w:rPr>
          <w:b/>
          <w:spacing w:val="60"/>
          <w:sz w:val="84"/>
          <w:szCs w:val="84"/>
          <w:highlight w:val="none"/>
        </w:rPr>
        <w:t>响应文件</w:t>
      </w:r>
    </w:p>
    <w:p>
      <w:pPr>
        <w:jc w:val="center"/>
        <w:rPr>
          <w:b/>
          <w:spacing w:val="60"/>
          <w:sz w:val="52"/>
          <w:szCs w:val="5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p>
    <w:p>
      <w:pPr>
        <w:ind w:firstLine="1084" w:firstLineChars="300"/>
        <w:rPr>
          <w:rFonts w:ascii="宋体" w:hAnsi="宋体"/>
          <w:b/>
          <w:sz w:val="36"/>
          <w:highlight w:val="none"/>
        </w:rPr>
      </w:pPr>
      <w:r>
        <w:rPr>
          <w:rFonts w:hint="eastAsia" w:ascii="宋体" w:hAnsi="宋体"/>
          <w:b/>
          <w:sz w:val="36"/>
          <w:highlight w:val="none"/>
        </w:rPr>
        <w:t>项目名称：</w:t>
      </w:r>
    </w:p>
    <w:p>
      <w:pPr>
        <w:ind w:firstLine="1084" w:firstLineChars="300"/>
        <w:rPr>
          <w:rFonts w:ascii="宋体" w:hAnsi="宋体"/>
          <w:b/>
          <w:sz w:val="36"/>
          <w:highlight w:val="none"/>
          <w:u w:val="single"/>
        </w:rPr>
      </w:pPr>
      <w:r>
        <w:rPr>
          <w:rFonts w:hint="eastAsia" w:ascii="宋体" w:hAnsi="宋体"/>
          <w:b/>
          <w:sz w:val="36"/>
          <w:highlight w:val="none"/>
        </w:rPr>
        <w:t>项目编号：</w:t>
      </w:r>
    </w:p>
    <w:p>
      <w:pP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供应商名称：</w:t>
      </w:r>
    </w:p>
    <w:p>
      <w:pPr>
        <w:rPr>
          <w:rFonts w:ascii="宋体" w:hAnsi="宋体"/>
          <w:b/>
          <w:sz w:val="36"/>
          <w:highlight w:val="none"/>
        </w:rPr>
      </w:pPr>
      <w:r>
        <w:rPr>
          <w:rFonts w:hint="eastAsia" w:ascii="宋体" w:hAnsi="宋体"/>
          <w:b/>
          <w:sz w:val="36"/>
          <w:highlight w:val="none"/>
        </w:rPr>
        <w:t>日期：</w:t>
      </w:r>
    </w:p>
    <w:p>
      <w:pPr>
        <w:jc w:val="center"/>
        <w:rPr>
          <w:b/>
          <w:sz w:val="32"/>
          <w:szCs w:val="32"/>
          <w:highlight w:val="none"/>
        </w:rPr>
      </w:pPr>
    </w:p>
    <w:p>
      <w:pPr>
        <w:jc w:val="left"/>
        <w:rPr>
          <w:bCs/>
          <w:spacing w:val="20"/>
          <w:sz w:val="24"/>
          <w:highlight w:val="none"/>
        </w:rPr>
      </w:pPr>
      <w:r>
        <w:rPr>
          <w:b/>
          <w:spacing w:val="20"/>
          <w:sz w:val="32"/>
          <w:szCs w:val="32"/>
          <w:highlight w:val="none"/>
        </w:rPr>
        <w:br w:type="page"/>
      </w:r>
      <w:r>
        <w:rPr>
          <w:bCs/>
          <w:spacing w:val="20"/>
          <w:sz w:val="24"/>
          <w:highlight w:val="none"/>
        </w:rPr>
        <w:t>2</w:t>
      </w:r>
      <w:r>
        <w:rPr>
          <w:rFonts w:hint="eastAsia"/>
          <w:bCs/>
          <w:spacing w:val="20"/>
          <w:sz w:val="24"/>
          <w:highlight w:val="none"/>
        </w:rPr>
        <w:t>供应商资格声明函（实质性格式）</w:t>
      </w:r>
    </w:p>
    <w:p>
      <w:pPr>
        <w:jc w:val="center"/>
        <w:rPr>
          <w:b/>
          <w:color w:val="000000"/>
          <w:sz w:val="36"/>
          <w:szCs w:val="36"/>
          <w:highlight w:val="none"/>
        </w:rPr>
      </w:pPr>
    </w:p>
    <w:p>
      <w:pPr>
        <w:jc w:val="center"/>
        <w:rPr>
          <w:b/>
          <w:color w:val="000000"/>
          <w:sz w:val="36"/>
          <w:szCs w:val="36"/>
          <w:highlight w:val="none"/>
        </w:rPr>
      </w:pPr>
      <w:r>
        <w:rPr>
          <w:rFonts w:hint="eastAsia"/>
          <w:b/>
          <w:color w:val="000000"/>
          <w:sz w:val="36"/>
          <w:szCs w:val="36"/>
          <w:highlight w:val="none"/>
        </w:rPr>
        <w:t>供应商资格声明函</w:t>
      </w:r>
    </w:p>
    <w:p>
      <w:pPr>
        <w:pStyle w:val="5"/>
        <w:spacing w:line="460" w:lineRule="exact"/>
        <w:ind w:firstLine="480"/>
        <w:rPr>
          <w:highlight w:val="none"/>
        </w:rPr>
      </w:pPr>
    </w:p>
    <w:p>
      <w:pPr>
        <w:pStyle w:val="5"/>
        <w:spacing w:line="460" w:lineRule="exact"/>
        <w:ind w:firstLine="480"/>
        <w:rPr>
          <w:highlight w:val="none"/>
        </w:rPr>
      </w:pPr>
      <w:r>
        <w:rPr>
          <w:rFonts w:hint="eastAsia"/>
          <w:highlight w:val="none"/>
        </w:rPr>
        <w:t>致：</w:t>
      </w:r>
      <w:r>
        <w:rPr>
          <w:rFonts w:hint="eastAsia"/>
          <w:bCs/>
          <w:highlight w:val="none"/>
        </w:rPr>
        <w:t>江苏春为全过程工程咨询有限公司</w:t>
      </w:r>
    </w:p>
    <w:p>
      <w:pPr>
        <w:pStyle w:val="5"/>
        <w:spacing w:line="460" w:lineRule="exact"/>
        <w:ind w:firstLine="480"/>
        <w:rPr>
          <w:rFonts w:hint="eastAsia"/>
          <w:highlight w:val="none"/>
        </w:rPr>
      </w:pPr>
      <w:r>
        <w:rPr>
          <w:rFonts w:hint="eastAsia"/>
          <w:bCs/>
          <w:highlight w:val="none"/>
          <w:lang w:eastAsia="zh-CN"/>
        </w:rPr>
        <w:t>常州市西太湖旅游发展有限公司</w:t>
      </w:r>
    </w:p>
    <w:p>
      <w:pPr>
        <w:pStyle w:val="5"/>
        <w:spacing w:line="460" w:lineRule="exact"/>
        <w:ind w:firstLine="480"/>
        <w:rPr>
          <w:highlight w:val="none"/>
        </w:rPr>
      </w:pPr>
      <w:r>
        <w:rPr>
          <w:rFonts w:hint="eastAsia"/>
          <w:highlight w:val="none"/>
        </w:rPr>
        <w:t>按照《中华人民共和国政府采购法》第二十二条和磋商文件的规定，我单位郑重声明如下：</w:t>
      </w:r>
    </w:p>
    <w:p>
      <w:pPr>
        <w:pStyle w:val="5"/>
        <w:spacing w:line="460" w:lineRule="exact"/>
        <w:ind w:firstLine="480"/>
        <w:rPr>
          <w:highlight w:val="none"/>
        </w:rPr>
      </w:pPr>
      <w:r>
        <w:rPr>
          <w:rFonts w:hint="eastAsia"/>
          <w:highlight w:val="none"/>
        </w:rPr>
        <w:t>一、我单位是按照中华人民共和国法律规定登记注册的，注册地点为，全称为，统一社会信用代码为，法定代表人（单位负责人）为，具有独立承担民事责任的能力。</w:t>
      </w:r>
    </w:p>
    <w:p>
      <w:pPr>
        <w:pStyle w:val="5"/>
        <w:spacing w:line="460" w:lineRule="exact"/>
        <w:ind w:firstLine="480"/>
        <w:rPr>
          <w:highlight w:val="none"/>
        </w:rPr>
      </w:pPr>
      <w:r>
        <w:rPr>
          <w:rFonts w:hint="eastAsia"/>
          <w:highlight w:val="none"/>
        </w:rPr>
        <w:t>二、我单位未被“国家企业信用信息系统”列入经营异常名录或者严重违法企业名单。</w:t>
      </w:r>
    </w:p>
    <w:p>
      <w:pPr>
        <w:pStyle w:val="5"/>
        <w:spacing w:line="460" w:lineRule="exact"/>
        <w:ind w:firstLine="480"/>
        <w:rPr>
          <w:highlight w:val="none"/>
        </w:rPr>
      </w:pPr>
      <w:r>
        <w:rPr>
          <w:rFonts w:hint="eastAsia"/>
          <w:highlight w:val="none"/>
        </w:rPr>
        <w:t>三、我单位具有良好的商业信誉（指供应商经营状况良好，无本资格声明第十条情形）和健全的财务会计制度。</w:t>
      </w:r>
    </w:p>
    <w:p>
      <w:pPr>
        <w:pStyle w:val="5"/>
        <w:spacing w:line="460" w:lineRule="exact"/>
        <w:ind w:firstLine="480"/>
        <w:rPr>
          <w:highlight w:val="none"/>
        </w:rPr>
      </w:pPr>
      <w:r>
        <w:rPr>
          <w:rFonts w:hint="eastAsia"/>
          <w:highlight w:val="none"/>
        </w:rPr>
        <w:t>四、我单位依法进行纳税和社会保险申报并实际履行了义务。</w:t>
      </w:r>
    </w:p>
    <w:p>
      <w:pPr>
        <w:pStyle w:val="5"/>
        <w:spacing w:line="460" w:lineRule="exact"/>
        <w:ind w:firstLine="480"/>
        <w:rPr>
          <w:highlight w:val="none"/>
        </w:rPr>
      </w:pPr>
      <w:r>
        <w:rPr>
          <w:rFonts w:hint="eastAsia"/>
          <w:highlight w:val="none"/>
        </w:rPr>
        <w:t>五、我单位具有履行本项目采购合同所必需的设备和专业技术能力，并具有履行合同的良好</w:t>
      </w:r>
      <w:r>
        <w:rPr>
          <w:highlight w:val="none"/>
        </w:rPr>
        <w:t>记录</w:t>
      </w:r>
      <w:r>
        <w:rPr>
          <w:rFonts w:hint="eastAsia"/>
          <w:highlight w:val="none"/>
        </w:rPr>
        <w:t>。为履行本项采购合同我单位具备如下主要设备和主要专业技术能力:</w:t>
      </w:r>
    </w:p>
    <w:p>
      <w:pPr>
        <w:pStyle w:val="5"/>
        <w:spacing w:line="460" w:lineRule="exact"/>
        <w:ind w:firstLine="480"/>
        <w:rPr>
          <w:highlight w:val="none"/>
        </w:rPr>
      </w:pPr>
      <w:r>
        <w:rPr>
          <w:rFonts w:hint="eastAsia"/>
          <w:highlight w:val="none"/>
        </w:rPr>
        <w:t>主要设备有：</w:t>
      </w:r>
    </w:p>
    <w:p>
      <w:pPr>
        <w:pStyle w:val="5"/>
        <w:spacing w:line="460" w:lineRule="exact"/>
        <w:ind w:firstLine="480"/>
        <w:rPr>
          <w:highlight w:val="none"/>
        </w:rPr>
      </w:pPr>
      <w:r>
        <w:rPr>
          <w:rFonts w:hint="eastAsia"/>
          <w:highlight w:val="none"/>
        </w:rPr>
        <w:t>主要专业技术能力有</w:t>
      </w:r>
    </w:p>
    <w:p>
      <w:pPr>
        <w:pStyle w:val="5"/>
        <w:spacing w:line="460" w:lineRule="exact"/>
        <w:ind w:firstLine="480"/>
        <w:rPr>
          <w:highlight w:val="none"/>
        </w:rPr>
      </w:pPr>
      <w:r>
        <w:rPr>
          <w:rFonts w:hint="eastAsia"/>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pStyle w:val="5"/>
        <w:spacing w:line="460" w:lineRule="exact"/>
        <w:ind w:firstLine="480"/>
        <w:rPr>
          <w:highlight w:val="none"/>
        </w:rPr>
      </w:pPr>
      <w:r>
        <w:rPr>
          <w:rFonts w:hint="eastAsia"/>
          <w:highlight w:val="none"/>
        </w:rPr>
        <w:t>七、我单位具备法律、行政法规规定的其他条件。</w:t>
      </w:r>
    </w:p>
    <w:p>
      <w:pPr>
        <w:pStyle w:val="5"/>
        <w:spacing w:line="460" w:lineRule="exact"/>
        <w:ind w:firstLine="480"/>
        <w:rPr>
          <w:highlight w:val="none"/>
        </w:rPr>
      </w:pPr>
      <w:r>
        <w:rPr>
          <w:rFonts w:hint="eastAsia"/>
          <w:highlight w:val="none"/>
        </w:rPr>
        <w:t>八、与我单位存在“单位负责人为同一人或者存在直接控股、管理关系”的其他单位信息如下（如无此情形的，填写“无”）：</w:t>
      </w:r>
    </w:p>
    <w:p>
      <w:pPr>
        <w:pStyle w:val="5"/>
        <w:spacing w:line="460" w:lineRule="exact"/>
        <w:ind w:firstLine="480"/>
        <w:rPr>
          <w:highlight w:val="none"/>
        </w:rPr>
      </w:pPr>
      <w:r>
        <w:rPr>
          <w:rFonts w:hint="eastAsia"/>
          <w:highlight w:val="none"/>
        </w:rPr>
        <w:t>1、与我单位的法定代表人（单位负责人）为同一人的其他单位如下：</w:t>
      </w:r>
    </w:p>
    <w:p>
      <w:pPr>
        <w:pStyle w:val="5"/>
        <w:spacing w:line="460" w:lineRule="exact"/>
        <w:ind w:firstLine="480"/>
        <w:rPr>
          <w:highlight w:val="none"/>
        </w:rPr>
      </w:pPr>
      <w:r>
        <w:rPr>
          <w:rFonts w:hint="eastAsia"/>
          <w:highlight w:val="none"/>
        </w:rPr>
        <w:t>2、我单位直接控股的其他单位如下：</w:t>
      </w:r>
    </w:p>
    <w:p>
      <w:pPr>
        <w:pStyle w:val="5"/>
        <w:spacing w:line="460" w:lineRule="exact"/>
        <w:ind w:firstLine="480"/>
        <w:rPr>
          <w:highlight w:val="none"/>
        </w:rPr>
      </w:pPr>
      <w:r>
        <w:rPr>
          <w:rFonts w:hint="eastAsia"/>
          <w:highlight w:val="none"/>
        </w:rPr>
        <w:t>3、与我单位存在管理关系的其他单位如下：</w:t>
      </w:r>
    </w:p>
    <w:p>
      <w:pPr>
        <w:pStyle w:val="5"/>
        <w:spacing w:line="460" w:lineRule="exact"/>
        <w:ind w:firstLine="480"/>
        <w:rPr>
          <w:highlight w:val="none"/>
        </w:rPr>
      </w:pPr>
      <w:r>
        <w:rPr>
          <w:rFonts w:hint="eastAsia"/>
          <w:highlight w:val="none"/>
        </w:rPr>
        <w:t>九、</w:t>
      </w:r>
      <w:r>
        <w:rPr>
          <w:highlight w:val="none"/>
        </w:rPr>
        <w:t>我</w:t>
      </w:r>
      <w:r>
        <w:rPr>
          <w:rFonts w:hint="eastAsia"/>
          <w:highlight w:val="none"/>
        </w:rPr>
        <w:t>单位</w:t>
      </w:r>
      <w:r>
        <w:rPr>
          <w:highlight w:val="none"/>
        </w:rPr>
        <w:t>不属于为本项目提供整体设计、规范编制或者项目管理、监理、检测等服务的供应商。</w:t>
      </w:r>
    </w:p>
    <w:p>
      <w:pPr>
        <w:pStyle w:val="5"/>
        <w:spacing w:line="460" w:lineRule="exact"/>
        <w:ind w:firstLine="480"/>
        <w:rPr>
          <w:highlight w:val="none"/>
        </w:rPr>
      </w:pPr>
      <w:r>
        <w:rPr>
          <w:rFonts w:hint="eastAsia"/>
          <w:highlight w:val="none"/>
        </w:rPr>
        <w:t>十、</w:t>
      </w:r>
      <w:r>
        <w:rPr>
          <w:highlight w:val="none"/>
        </w:rPr>
        <w:t>我单位无以下不良信用记录情形：</w:t>
      </w:r>
    </w:p>
    <w:p>
      <w:pPr>
        <w:pStyle w:val="5"/>
        <w:spacing w:line="460" w:lineRule="exact"/>
        <w:ind w:firstLine="480"/>
        <w:rPr>
          <w:highlight w:val="none"/>
        </w:rPr>
      </w:pPr>
      <w:r>
        <w:rPr>
          <w:highlight w:val="none"/>
        </w:rPr>
        <w:t>1</w:t>
      </w:r>
      <w:r>
        <w:rPr>
          <w:rFonts w:hint="eastAsia"/>
          <w:highlight w:val="none"/>
        </w:rPr>
        <w:t>、在“信用中国”网站被列入失信被执行人和重大税收违法案件当事人名单；</w:t>
      </w:r>
    </w:p>
    <w:p>
      <w:pPr>
        <w:pStyle w:val="5"/>
        <w:spacing w:line="460" w:lineRule="exact"/>
        <w:ind w:firstLine="480"/>
        <w:rPr>
          <w:highlight w:val="none"/>
        </w:rPr>
      </w:pPr>
      <w:r>
        <w:rPr>
          <w:highlight w:val="none"/>
        </w:rPr>
        <w:t>2</w:t>
      </w:r>
      <w:r>
        <w:rPr>
          <w:rFonts w:hint="eastAsia"/>
          <w:highlight w:val="none"/>
        </w:rPr>
        <w:t>、在“中国政府采购网”网站被列入政府采购严重违法失信行为记录名单；</w:t>
      </w:r>
    </w:p>
    <w:p>
      <w:pPr>
        <w:pStyle w:val="5"/>
        <w:spacing w:line="460" w:lineRule="exact"/>
        <w:ind w:firstLine="480"/>
        <w:rPr>
          <w:highlight w:val="none"/>
        </w:rPr>
      </w:pPr>
      <w:r>
        <w:rPr>
          <w:highlight w:val="none"/>
        </w:rPr>
        <w:t>3</w:t>
      </w:r>
      <w:r>
        <w:rPr>
          <w:rFonts w:hint="eastAsia"/>
          <w:highlight w:val="none"/>
        </w:rPr>
        <w:t>、</w:t>
      </w:r>
      <w:r>
        <w:rPr>
          <w:highlight w:val="none"/>
        </w:rPr>
        <w:t>不符合《政府采购法》第二十二条规定的条件。</w:t>
      </w:r>
    </w:p>
    <w:p>
      <w:pPr>
        <w:pStyle w:val="5"/>
        <w:spacing w:line="460" w:lineRule="exact"/>
        <w:ind w:firstLine="480"/>
        <w:rPr>
          <w:highlight w:val="none"/>
        </w:rPr>
      </w:pPr>
    </w:p>
    <w:p>
      <w:pPr>
        <w:pStyle w:val="5"/>
        <w:spacing w:line="460" w:lineRule="exact"/>
        <w:ind w:firstLine="480"/>
        <w:rPr>
          <w:highlight w:val="none"/>
        </w:rPr>
      </w:pPr>
      <w:r>
        <w:rPr>
          <w:rFonts w:hint="eastAsia"/>
          <w:highlight w:val="none"/>
        </w:rPr>
        <w:t>我单位保证上述声明的事项都是真实的，如有虚假，我单位愿意承担相应的法律责任，并承担因此所造成的一切损失。</w:t>
      </w:r>
    </w:p>
    <w:p>
      <w:pPr>
        <w:pStyle w:val="5"/>
        <w:spacing w:line="460" w:lineRule="exact"/>
        <w:ind w:firstLine="480"/>
        <w:rPr>
          <w:highlight w:val="none"/>
        </w:rPr>
      </w:pPr>
    </w:p>
    <w:p>
      <w:pPr>
        <w:pStyle w:val="5"/>
        <w:spacing w:line="460" w:lineRule="exact"/>
        <w:ind w:firstLine="480"/>
        <w:rPr>
          <w:highlight w:val="none"/>
        </w:rPr>
      </w:pPr>
    </w:p>
    <w:p>
      <w:pPr>
        <w:pStyle w:val="5"/>
        <w:spacing w:line="460" w:lineRule="exact"/>
        <w:ind w:firstLine="480"/>
        <w:rPr>
          <w:highlight w:val="none"/>
        </w:rPr>
      </w:pPr>
      <w:r>
        <w:rPr>
          <w:rFonts w:hint="eastAsia"/>
          <w:highlight w:val="none"/>
        </w:rPr>
        <w:t>供应商：（加盖公章）</w:t>
      </w:r>
    </w:p>
    <w:p>
      <w:pPr>
        <w:pStyle w:val="5"/>
        <w:spacing w:line="460" w:lineRule="exact"/>
        <w:ind w:firstLine="480"/>
        <w:rPr>
          <w:highlight w:val="none"/>
        </w:rPr>
      </w:pPr>
      <w:r>
        <w:rPr>
          <w:rFonts w:hint="eastAsia"/>
          <w:highlight w:val="none"/>
        </w:rPr>
        <w:t>法定代表人（或单位负责人）签字或盖章：</w:t>
      </w:r>
    </w:p>
    <w:p>
      <w:pPr>
        <w:pStyle w:val="5"/>
        <w:spacing w:line="460" w:lineRule="exact"/>
        <w:ind w:firstLine="4920" w:firstLineChars="2050"/>
        <w:rPr>
          <w:highlight w:val="none"/>
        </w:rPr>
      </w:pPr>
      <w:r>
        <w:rPr>
          <w:rFonts w:hint="eastAsia"/>
          <w:highlight w:val="none"/>
        </w:rPr>
        <w:t>日期：</w:t>
      </w:r>
      <w:r>
        <w:rPr>
          <w:rFonts w:hint="eastAsia"/>
          <w:highlight w:val="none"/>
          <w:lang w:val="en-US" w:eastAsia="zh-CN"/>
        </w:rPr>
        <w:t xml:space="preserve">   </w:t>
      </w:r>
      <w:r>
        <w:rPr>
          <w:rFonts w:hint="eastAsia"/>
          <w:highlight w:val="none"/>
        </w:rPr>
        <w:t>年</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w:t>
      </w:r>
      <w:r>
        <w:rPr>
          <w:rFonts w:hint="eastAsia"/>
          <w:highlight w:val="none"/>
        </w:rPr>
        <w:t>日</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供应商承诺不实的，依据《政府采购法》第七十七条“提供虚假材料谋取中标（成交）、成交的”有关规定予以处理</w:t>
      </w:r>
      <w:r>
        <w:rPr>
          <w:sz w:val="24"/>
          <w:highlight w:val="none"/>
        </w:rPr>
        <w:t>。</w:t>
      </w:r>
    </w:p>
    <w:p>
      <w:pPr>
        <w:tabs>
          <w:tab w:val="left" w:pos="5580"/>
        </w:tabs>
        <w:spacing w:line="360" w:lineRule="auto"/>
        <w:rPr>
          <w:sz w:val="24"/>
          <w:highlight w:val="none"/>
        </w:rPr>
        <w:sectPr>
          <w:headerReference r:id="rId11" w:type="default"/>
          <w:footerReference r:id="rId12" w:type="default"/>
          <w:pgSz w:w="11907" w:h="16840"/>
          <w:pgMar w:top="1418" w:right="1134" w:bottom="1418" w:left="1701" w:header="851" w:footer="851" w:gutter="0"/>
          <w:cols w:space="720" w:num="1"/>
          <w:docGrid w:linePitch="462" w:charSpace="0"/>
        </w:sectPr>
      </w:pPr>
    </w:p>
    <w:p>
      <w:pPr>
        <w:widowControl/>
        <w:jc w:val="left"/>
        <w:rPr>
          <w:sz w:val="24"/>
          <w:highlight w:val="none"/>
        </w:rPr>
      </w:pPr>
      <w:r>
        <w:rPr>
          <w:rFonts w:hint="eastAsia"/>
          <w:sz w:val="24"/>
          <w:highlight w:val="none"/>
        </w:rPr>
        <w:t>3营业执照</w:t>
      </w:r>
      <w:r>
        <w:rPr>
          <w:rFonts w:hint="eastAsia"/>
          <w:sz w:val="24"/>
          <w:highlight w:val="none"/>
          <w:lang w:eastAsia="zh-CN"/>
        </w:rPr>
        <w:t>、</w:t>
      </w:r>
      <w:r>
        <w:rPr>
          <w:rFonts w:hint="eastAsia"/>
          <w:sz w:val="24"/>
          <w:highlight w:val="none"/>
          <w:lang w:val="en-US" w:eastAsia="zh-CN"/>
        </w:rPr>
        <w:t>资质证书等</w:t>
      </w:r>
      <w:r>
        <w:rPr>
          <w:rFonts w:hint="eastAsia"/>
          <w:sz w:val="24"/>
          <w:highlight w:val="none"/>
        </w:rPr>
        <w:t>复印件加盖公章</w:t>
      </w:r>
    </w:p>
    <w:p>
      <w:pPr>
        <w:widowControl/>
        <w:jc w:val="left"/>
        <w:rPr>
          <w:sz w:val="24"/>
          <w:highlight w:val="none"/>
        </w:rPr>
      </w:pPr>
    </w:p>
    <w:p>
      <w:pPr>
        <w:widowControl/>
        <w:jc w:val="left"/>
        <w:rPr>
          <w:sz w:val="24"/>
          <w:highlight w:val="none"/>
        </w:rPr>
      </w:pPr>
    </w:p>
    <w:p>
      <w:pPr>
        <w:spacing w:line="360" w:lineRule="auto"/>
        <w:outlineLvl w:val="2"/>
        <w:rPr>
          <w:color w:val="000000"/>
          <w:sz w:val="24"/>
          <w:szCs w:val="20"/>
          <w:highlight w:val="none"/>
        </w:rPr>
      </w:pPr>
      <w:r>
        <w:rPr>
          <w:b/>
          <w:sz w:val="24"/>
          <w:highlight w:val="none"/>
        </w:rPr>
        <w:br w:type="page"/>
      </w:r>
      <w:bookmarkStart w:id="815" w:name="_Toc264969247"/>
      <w:bookmarkStart w:id="816" w:name="_Toc305158899"/>
      <w:bookmarkStart w:id="817" w:name="_Toc150480795"/>
      <w:bookmarkStart w:id="818" w:name="_Toc226965830"/>
      <w:bookmarkStart w:id="819" w:name="_Toc127151557"/>
      <w:bookmarkStart w:id="820" w:name="_Toc142311059"/>
      <w:bookmarkStart w:id="821" w:name="_Toc226337253"/>
      <w:bookmarkStart w:id="822" w:name="_Toc226309801"/>
      <w:bookmarkStart w:id="823" w:name="_Ref467988705"/>
      <w:bookmarkStart w:id="824" w:name="_Toc480942350"/>
      <w:bookmarkStart w:id="825" w:name="_Toc226965747"/>
      <w:bookmarkStart w:id="826" w:name="_Toc150774762"/>
      <w:bookmarkStart w:id="827" w:name="_Toc305158825"/>
      <w:bookmarkStart w:id="828" w:name="_Toc265228395"/>
      <w:bookmarkStart w:id="829" w:name="_Toc195842922"/>
      <w:bookmarkStart w:id="830" w:name="_Toc520356218"/>
      <w:r>
        <w:rPr>
          <w:b/>
          <w:sz w:val="24"/>
          <w:highlight w:val="none"/>
        </w:rPr>
        <w:t>4</w:t>
      </w:r>
      <w:r>
        <w:rPr>
          <w:color w:val="000000"/>
          <w:sz w:val="24"/>
          <w:highlight w:val="none"/>
        </w:rPr>
        <w:t>响应</w:t>
      </w:r>
      <w:r>
        <w:rPr>
          <w:rFonts w:hint="eastAsia"/>
          <w:color w:val="000000"/>
          <w:sz w:val="24"/>
          <w:highlight w:val="none"/>
        </w:rPr>
        <w:t>函</w:t>
      </w:r>
      <w:r>
        <w:rPr>
          <w:color w:val="000000"/>
          <w:sz w:val="24"/>
          <w:szCs w:val="20"/>
          <w:highlight w:val="none"/>
        </w:rPr>
        <w:t>（实质性格式）</w:t>
      </w:r>
    </w:p>
    <w:p>
      <w:pPr>
        <w:tabs>
          <w:tab w:val="left" w:pos="5580"/>
        </w:tabs>
        <w:spacing w:line="360" w:lineRule="auto"/>
        <w:rPr>
          <w:color w:val="000000"/>
          <w:sz w:val="24"/>
          <w:highlight w:val="none"/>
        </w:rPr>
      </w:pPr>
    </w:p>
    <w:p>
      <w:pPr>
        <w:spacing w:line="360" w:lineRule="auto"/>
        <w:jc w:val="center"/>
        <w:rPr>
          <w:b/>
          <w:color w:val="000000"/>
          <w:sz w:val="36"/>
          <w:szCs w:val="36"/>
          <w:highlight w:val="none"/>
        </w:rPr>
      </w:pPr>
      <w:r>
        <w:rPr>
          <w:rFonts w:hint="eastAsia"/>
          <w:b/>
          <w:color w:val="000000"/>
          <w:sz w:val="36"/>
          <w:szCs w:val="36"/>
          <w:highlight w:val="none"/>
        </w:rPr>
        <w:t>响应函</w:t>
      </w:r>
    </w:p>
    <w:p>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w:t>
      </w:r>
      <w:r>
        <w:rPr>
          <w:rFonts w:hint="eastAsia"/>
          <w:color w:val="000000"/>
          <w:sz w:val="24"/>
          <w:highlight w:val="none"/>
          <w:u w:val="single"/>
          <w:lang w:eastAsia="zh-CN"/>
        </w:rPr>
        <w:t>采购人</w:t>
      </w:r>
      <w:r>
        <w:rPr>
          <w:color w:val="000000"/>
          <w:sz w:val="24"/>
          <w:highlight w:val="none"/>
          <w:u w:val="single"/>
        </w:rPr>
        <w:t>或采购代理机构）</w:t>
      </w:r>
    </w:p>
    <w:p>
      <w:pPr>
        <w:tabs>
          <w:tab w:val="left" w:pos="5580"/>
        </w:tabs>
        <w:spacing w:line="360" w:lineRule="auto"/>
        <w:rPr>
          <w:color w:val="000000"/>
          <w:sz w:val="24"/>
          <w:szCs w:val="20"/>
          <w:highlight w:val="none"/>
        </w:rPr>
      </w:pPr>
    </w:p>
    <w:p>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w:t>
      </w:r>
      <w:r>
        <w:rPr>
          <w:rFonts w:hint="eastAsia"/>
          <w:color w:val="000000"/>
          <w:sz w:val="24"/>
          <w:szCs w:val="20"/>
          <w:highlight w:val="none"/>
        </w:rPr>
        <w:t>政府采购</w:t>
      </w:r>
      <w:r>
        <w:rPr>
          <w:color w:val="000000"/>
          <w:sz w:val="24"/>
          <w:szCs w:val="20"/>
          <w:highlight w:val="none"/>
        </w:rPr>
        <w:t>活动，并对此项目进行响应。</w:t>
      </w:r>
    </w:p>
    <w:p>
      <w:pPr>
        <w:tabs>
          <w:tab w:val="left" w:pos="5580"/>
        </w:tabs>
        <w:spacing w:line="360" w:lineRule="auto"/>
        <w:ind w:firstLine="408"/>
        <w:rPr>
          <w:color w:val="000000"/>
          <w:sz w:val="24"/>
          <w:szCs w:val="20"/>
          <w:highlight w:val="none"/>
        </w:rPr>
      </w:pPr>
      <w:r>
        <w:rPr>
          <w:color w:val="000000"/>
          <w:sz w:val="24"/>
          <w:szCs w:val="20"/>
          <w:highlight w:val="none"/>
        </w:rPr>
        <w:t>1.我方</w:t>
      </w:r>
      <w:r>
        <w:rPr>
          <w:color w:val="000000"/>
          <w:sz w:val="24"/>
          <w:highlight w:val="none"/>
        </w:rPr>
        <w:t>已详细审查全部磋商文件</w:t>
      </w:r>
      <w:r>
        <w:rPr>
          <w:color w:val="000000"/>
          <w:sz w:val="24"/>
          <w:szCs w:val="20"/>
          <w:highlight w:val="none"/>
        </w:rPr>
        <w:t>，自愿参与响应并承诺如下：</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（1）本响应有效期为自提交响应文件的截止之日起</w:t>
      </w:r>
      <w:r>
        <w:rPr>
          <w:rFonts w:hint="eastAsia"/>
          <w:sz w:val="24"/>
          <w:highlight w:val="none"/>
        </w:rPr>
        <w:t>60</w:t>
      </w:r>
      <w:r>
        <w:rPr>
          <w:color w:val="000000"/>
          <w:sz w:val="24"/>
          <w:szCs w:val="20"/>
          <w:highlight w:val="none"/>
        </w:rPr>
        <w:t>个日历日。</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（2）除合同条款及采购需求偏离表列出的偏离外，我方响应磋商文件的全部要求。</w:t>
      </w:r>
    </w:p>
    <w:p>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pPr>
        <w:tabs>
          <w:tab w:val="left" w:pos="5580"/>
        </w:tabs>
        <w:spacing w:line="360" w:lineRule="auto"/>
        <w:ind w:firstLine="420" w:firstLineChars="175"/>
        <w:rPr>
          <w:color w:val="000000"/>
          <w:sz w:val="24"/>
          <w:highlight w:val="none"/>
        </w:rPr>
      </w:pPr>
      <w:r>
        <w:rPr>
          <w:color w:val="000000"/>
          <w:sz w:val="24"/>
          <w:szCs w:val="20"/>
          <w:highlight w:val="none"/>
        </w:rPr>
        <w:t>（4）如我方中标（成交），我方将在法律规定的期限内与你方签订合同，按照磋商文件要求提交履约保证金，并在合同约定的期限内完成合同规定的全部义务。</w:t>
      </w:r>
    </w:p>
    <w:p>
      <w:pPr>
        <w:spacing w:line="360" w:lineRule="auto"/>
        <w:ind w:left="420"/>
        <w:rPr>
          <w:color w:val="000000"/>
          <w:sz w:val="24"/>
          <w:highlight w:val="none"/>
        </w:rPr>
      </w:pPr>
      <w:r>
        <w:rPr>
          <w:color w:val="000000"/>
          <w:sz w:val="24"/>
          <w:highlight w:val="none"/>
        </w:rPr>
        <w:t>2.其他补充条款（如有）：</w:t>
      </w:r>
      <w:r>
        <w:rPr>
          <w:color w:val="000000"/>
          <w:sz w:val="24"/>
          <w:szCs w:val="20"/>
          <w:highlight w:val="none"/>
        </w:rPr>
        <w:t>___________</w:t>
      </w:r>
      <w:r>
        <w:rPr>
          <w:color w:val="000000"/>
          <w:sz w:val="24"/>
          <w:highlight w:val="none"/>
        </w:rPr>
        <w:t>。</w:t>
      </w:r>
    </w:p>
    <w:p>
      <w:pPr>
        <w:spacing w:line="360" w:lineRule="auto"/>
        <w:ind w:firstLine="480" w:firstLineChars="200"/>
        <w:rPr>
          <w:color w:val="000000"/>
          <w:sz w:val="24"/>
          <w:highlight w:val="none"/>
        </w:rPr>
      </w:pPr>
      <w:r>
        <w:rPr>
          <w:color w:val="000000"/>
          <w:sz w:val="24"/>
          <w:highlight w:val="none"/>
        </w:rPr>
        <w:t>与本响应有关的一切正式往来信函请寄：</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r>
        <w:rPr>
          <w:color w:val="000000"/>
          <w:sz w:val="24"/>
          <w:szCs w:val="20"/>
          <w:highlight w:val="none"/>
        </w:rPr>
        <w:t>地址_________________________传真____________________________</w:t>
      </w:r>
    </w:p>
    <w:p>
      <w:pPr>
        <w:tabs>
          <w:tab w:val="left" w:pos="5580"/>
        </w:tabs>
        <w:spacing w:line="360" w:lineRule="auto"/>
        <w:ind w:left="420"/>
        <w:rPr>
          <w:color w:val="000000"/>
          <w:sz w:val="24"/>
          <w:szCs w:val="20"/>
          <w:highlight w:val="none"/>
        </w:rPr>
      </w:pPr>
      <w:r>
        <w:rPr>
          <w:color w:val="000000"/>
          <w:sz w:val="24"/>
          <w:szCs w:val="20"/>
          <w:highlight w:val="none"/>
        </w:rPr>
        <w:t>电话_________________________电子函件________________________</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r>
        <w:rPr>
          <w:color w:val="000000"/>
          <w:sz w:val="24"/>
          <w:szCs w:val="20"/>
          <w:highlight w:val="none"/>
        </w:rPr>
        <w:t>供应商名称（加盖公章）___________</w:t>
      </w:r>
    </w:p>
    <w:p>
      <w:pPr>
        <w:tabs>
          <w:tab w:val="left" w:pos="5580"/>
        </w:tabs>
        <w:spacing w:line="360" w:lineRule="auto"/>
        <w:ind w:left="420"/>
        <w:rPr>
          <w:color w:val="000000"/>
          <w:sz w:val="24"/>
          <w:szCs w:val="20"/>
          <w:highlight w:val="none"/>
        </w:rPr>
      </w:pPr>
      <w:r>
        <w:rPr>
          <w:color w:val="000000"/>
          <w:sz w:val="24"/>
          <w:szCs w:val="20"/>
          <w:highlight w:val="none"/>
        </w:rPr>
        <w:t>日期：_____年______月______日</w:t>
      </w:r>
    </w:p>
    <w:p>
      <w:pPr>
        <w:tabs>
          <w:tab w:val="left" w:pos="5580"/>
        </w:tabs>
        <w:spacing w:line="360" w:lineRule="auto"/>
        <w:ind w:left="420"/>
        <w:rPr>
          <w:color w:val="000000"/>
          <w:sz w:val="24"/>
          <w:szCs w:val="20"/>
          <w:highlight w:val="none"/>
          <w:u w:val="single"/>
        </w:rPr>
      </w:pPr>
    </w:p>
    <w:p>
      <w:pPr>
        <w:widowControl/>
        <w:jc w:val="left"/>
        <w:rPr>
          <w:color w:val="000000"/>
          <w:sz w:val="24"/>
          <w:highlight w:val="none"/>
        </w:rPr>
      </w:pPr>
      <w:bookmarkStart w:id="831" w:name="_Hlt520355938"/>
      <w:bookmarkEnd w:id="831"/>
      <w:bookmarkStart w:id="832" w:name="_Hlt520356243"/>
      <w:bookmarkEnd w:id="832"/>
      <w:r>
        <w:rPr>
          <w:color w:val="000000"/>
          <w:sz w:val="24"/>
          <w:highlight w:val="none"/>
        </w:rPr>
        <w:br w:type="page"/>
      </w:r>
    </w:p>
    <w:p>
      <w:pPr>
        <w:widowControl/>
        <w:jc w:val="left"/>
        <w:rPr>
          <w:color w:val="000000"/>
          <w:sz w:val="24"/>
          <w:highlight w:val="none"/>
        </w:rPr>
      </w:pPr>
      <w:r>
        <w:rPr>
          <w:rFonts w:hint="eastAsia"/>
          <w:color w:val="000000"/>
          <w:sz w:val="24"/>
          <w:highlight w:val="none"/>
        </w:rPr>
        <w:t>5法定代表人资格证明书</w:t>
      </w:r>
      <w:r>
        <w:rPr>
          <w:color w:val="000000"/>
          <w:sz w:val="24"/>
          <w:szCs w:val="20"/>
          <w:highlight w:val="none"/>
        </w:rPr>
        <w:t>（实质性格式）</w:t>
      </w:r>
    </w:p>
    <w:p>
      <w:pPr>
        <w:spacing w:line="360" w:lineRule="auto"/>
        <w:jc w:val="center"/>
        <w:rPr>
          <w:rFonts w:ascii="宋体" w:hAnsi="宋体"/>
          <w:b/>
          <w:sz w:val="32"/>
          <w:szCs w:val="32"/>
          <w:highlight w:val="none"/>
        </w:rPr>
      </w:pPr>
    </w:p>
    <w:p>
      <w:pPr>
        <w:spacing w:line="360" w:lineRule="auto"/>
        <w:jc w:val="center"/>
        <w:rPr>
          <w:rFonts w:ascii="宋体" w:hAnsi="宋体"/>
          <w:b/>
          <w:sz w:val="32"/>
          <w:szCs w:val="32"/>
          <w:highlight w:val="none"/>
        </w:rPr>
      </w:pPr>
      <w:r>
        <w:rPr>
          <w:rFonts w:hint="eastAsia" w:ascii="宋体" w:hAnsi="宋体"/>
          <w:b/>
          <w:sz w:val="32"/>
          <w:szCs w:val="32"/>
          <w:highlight w:val="none"/>
        </w:rPr>
        <w:t>法定代表人资格证明书</w:t>
      </w:r>
    </w:p>
    <w:p>
      <w:pPr>
        <w:spacing w:line="560" w:lineRule="exact"/>
        <w:rPr>
          <w:rFonts w:ascii="宋体" w:hAnsi="宋体"/>
          <w:sz w:val="24"/>
          <w:highlight w:val="none"/>
        </w:rPr>
      </w:pPr>
      <w:r>
        <w:rPr>
          <w:rFonts w:hint="eastAsia" w:ascii="宋体" w:hAnsi="宋体"/>
          <w:sz w:val="24"/>
          <w:highlight w:val="none"/>
        </w:rPr>
        <w:t>单位名称:</w:t>
      </w:r>
    </w:p>
    <w:p>
      <w:pPr>
        <w:spacing w:line="560" w:lineRule="exact"/>
        <w:rPr>
          <w:rFonts w:ascii="宋体" w:hAnsi="宋体"/>
          <w:sz w:val="24"/>
          <w:highlight w:val="none"/>
        </w:rPr>
      </w:pPr>
      <w:r>
        <w:rPr>
          <w:rFonts w:hint="eastAsia" w:ascii="宋体" w:hAnsi="宋体"/>
          <w:sz w:val="24"/>
          <w:highlight w:val="none"/>
        </w:rPr>
        <w:t>地址:</w:t>
      </w:r>
    </w:p>
    <w:p>
      <w:pPr>
        <w:spacing w:line="560" w:lineRule="exact"/>
        <w:rPr>
          <w:rFonts w:ascii="宋体" w:hAnsi="宋体"/>
          <w:sz w:val="24"/>
          <w:highlight w:val="none"/>
        </w:rPr>
      </w:pPr>
      <w:r>
        <w:rPr>
          <w:rFonts w:hint="eastAsia" w:ascii="宋体" w:hAnsi="宋体"/>
          <w:sz w:val="24"/>
          <w:highlight w:val="none"/>
        </w:rPr>
        <w:t>姓名:性别:年龄:职务:</w:t>
      </w:r>
    </w:p>
    <w:p>
      <w:pPr>
        <w:spacing w:line="560" w:lineRule="exact"/>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（供应商名称）</w:t>
      </w:r>
      <w:r>
        <w:rPr>
          <w:rFonts w:hint="eastAsia" w:ascii="宋体" w:hAnsi="宋体"/>
          <w:sz w:val="24"/>
          <w:highlight w:val="none"/>
        </w:rPr>
        <w:t>的法定代表人。为参与</w:t>
      </w:r>
      <w:r>
        <w:rPr>
          <w:rFonts w:hint="eastAsia" w:ascii="宋体" w:hAnsi="宋体"/>
          <w:sz w:val="24"/>
          <w:highlight w:val="none"/>
          <w:u w:val="single"/>
        </w:rPr>
        <w:t>（项目名称）</w:t>
      </w:r>
      <w:r>
        <w:rPr>
          <w:rFonts w:hint="eastAsia" w:ascii="宋体" w:hAnsi="宋体"/>
          <w:sz w:val="24"/>
          <w:highlight w:val="none"/>
        </w:rPr>
        <w:t>的政府采购活动，</w:t>
      </w:r>
      <w:r>
        <w:rPr>
          <w:rFonts w:ascii="宋体" w:hAnsi="宋体"/>
          <w:color w:val="000000"/>
          <w:sz w:val="24"/>
          <w:szCs w:val="20"/>
          <w:highlight w:val="none"/>
        </w:rPr>
        <w:t>签署、澄清确认、递交、撤回、修改</w:t>
      </w:r>
      <w:r>
        <w:rPr>
          <w:rFonts w:hint="eastAsia" w:ascii="宋体" w:hAnsi="宋体"/>
          <w:sz w:val="24"/>
          <w:highlight w:val="none"/>
        </w:rPr>
        <w:t>上述项目的响应文件、进行合同磋商、签署合同和处理与之有关的一切事务。</w:t>
      </w:r>
    </w:p>
    <w:p>
      <w:pPr>
        <w:spacing w:line="560" w:lineRule="exact"/>
        <w:rPr>
          <w:rFonts w:ascii="宋体" w:hAnsi="宋体"/>
          <w:sz w:val="24"/>
          <w:highlight w:val="none"/>
        </w:rPr>
      </w:pPr>
      <w:r>
        <w:rPr>
          <w:rFonts w:hint="eastAsia" w:ascii="宋体" w:hAnsi="宋体"/>
          <w:sz w:val="24"/>
          <w:highlight w:val="none"/>
        </w:rPr>
        <w:t>特此证明。</w:t>
      </w:r>
    </w:p>
    <w:p>
      <w:pPr>
        <w:spacing w:line="560" w:lineRule="exact"/>
        <w:rPr>
          <w:rFonts w:ascii="宋体" w:hAnsi="宋体"/>
          <w:sz w:val="24"/>
          <w:highlight w:val="none"/>
        </w:rPr>
      </w:pPr>
    </w:p>
    <w:p>
      <w:pPr>
        <w:pStyle w:val="19"/>
        <w:kinsoku w:val="0"/>
        <w:overflowPunct w:val="0"/>
        <w:spacing w:line="583" w:lineRule="auto"/>
        <w:ind w:right="-46"/>
        <w:rPr>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w:t>
      </w:r>
    </w:p>
    <w:tbl>
      <w:tblPr>
        <w:tblStyle w:val="51"/>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tc>
        <w:tc>
          <w:tcPr>
            <w:tcW w:w="4536" w:type="dxa"/>
          </w:tcPr>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tc>
      </w:tr>
    </w:tbl>
    <w:p>
      <w:pPr>
        <w:spacing w:line="560" w:lineRule="exact"/>
        <w:rPr>
          <w:rFonts w:ascii="宋体" w:hAnsi="宋体"/>
          <w:sz w:val="24"/>
          <w:highlight w:val="none"/>
        </w:rPr>
      </w:pPr>
      <w:r>
        <w:rPr>
          <w:rFonts w:hint="eastAsia" w:ascii="宋体" w:hAnsi="宋体"/>
          <w:sz w:val="24"/>
          <w:highlight w:val="none"/>
        </w:rPr>
        <w:t>供应商：（加盖公章）</w:t>
      </w:r>
    </w:p>
    <w:p>
      <w:pPr>
        <w:spacing w:line="560" w:lineRule="exact"/>
        <w:rPr>
          <w:rFonts w:ascii="宋体" w:hAnsi="宋体"/>
          <w:sz w:val="24"/>
          <w:highlight w:val="none"/>
        </w:rPr>
      </w:pPr>
      <w:r>
        <w:rPr>
          <w:rFonts w:hint="eastAsia" w:ascii="宋体" w:hAnsi="宋体"/>
          <w:sz w:val="24"/>
          <w:highlight w:val="none"/>
        </w:rPr>
        <w:t>法定代表人</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ascii="宋体" w:hAnsi="宋体"/>
          <w:sz w:val="24"/>
          <w:highlight w:val="none"/>
        </w:rPr>
        <w:t>：</w:t>
      </w:r>
    </w:p>
    <w:p>
      <w:pPr>
        <w:spacing w:line="560" w:lineRule="exact"/>
        <w:ind w:firstLine="4320" w:firstLineChars="1800"/>
        <w:rPr>
          <w:rFonts w:ascii="宋体" w:hAnsi="宋体"/>
          <w:sz w:val="24"/>
          <w:highlight w:val="none"/>
        </w:rPr>
      </w:pPr>
      <w:r>
        <w:rPr>
          <w:rFonts w:hint="eastAsia" w:ascii="宋体" w:hAnsi="宋体"/>
          <w:sz w:val="24"/>
          <w:highlight w:val="none"/>
        </w:rPr>
        <w:t>日期：年月日</w:t>
      </w:r>
    </w:p>
    <w:p>
      <w:pPr>
        <w:widowControl/>
        <w:jc w:val="left"/>
        <w:rPr>
          <w:color w:val="000000"/>
          <w:sz w:val="24"/>
          <w:highlight w:val="none"/>
        </w:rPr>
      </w:pPr>
    </w:p>
    <w:p>
      <w:pPr>
        <w:widowControl/>
        <w:jc w:val="left"/>
        <w:rPr>
          <w:color w:val="000000"/>
          <w:sz w:val="24"/>
          <w:highlight w:val="none"/>
        </w:rPr>
      </w:pPr>
    </w:p>
    <w:p>
      <w:pPr>
        <w:widowControl/>
        <w:jc w:val="left"/>
        <w:rPr>
          <w:color w:val="000000"/>
          <w:sz w:val="24"/>
          <w:highlight w:val="none"/>
        </w:rPr>
      </w:pPr>
    </w:p>
    <w:p>
      <w:pPr>
        <w:tabs>
          <w:tab w:val="left" w:pos="5580"/>
        </w:tabs>
        <w:spacing w:line="360" w:lineRule="auto"/>
        <w:jc w:val="left"/>
        <w:rPr>
          <w:rFonts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1.若供应商为事业单位或其他组织或分支机构（仅当</w:t>
      </w:r>
      <w:r>
        <w:rPr>
          <w:rFonts w:hint="eastAsia" w:ascii="宋体" w:hAnsi="宋体"/>
          <w:color w:val="000000"/>
          <w:sz w:val="24"/>
          <w:szCs w:val="20"/>
          <w:highlight w:val="none"/>
        </w:rPr>
        <w:t>磋商文件</w:t>
      </w:r>
      <w:r>
        <w:rPr>
          <w:rFonts w:ascii="宋体" w:hAnsi="宋体"/>
          <w:color w:val="000000"/>
          <w:sz w:val="24"/>
          <w:szCs w:val="20"/>
          <w:highlight w:val="none"/>
        </w:rPr>
        <w:t>注明允许分支机构</w:t>
      </w:r>
      <w:r>
        <w:rPr>
          <w:rFonts w:hint="eastAsia" w:ascii="宋体" w:hAnsi="宋体"/>
          <w:color w:val="000000"/>
          <w:sz w:val="24"/>
          <w:szCs w:val="20"/>
          <w:highlight w:val="none"/>
        </w:rPr>
        <w:t>响应</w:t>
      </w:r>
      <w:r>
        <w:rPr>
          <w:rFonts w:ascii="宋体" w:hAnsi="宋体"/>
          <w:color w:val="000000"/>
          <w:sz w:val="24"/>
          <w:szCs w:val="20"/>
          <w:highlight w:val="none"/>
        </w:rPr>
        <w:t>的），则法定代表人（单位负责人）</w:t>
      </w:r>
      <w:r>
        <w:rPr>
          <w:rFonts w:hint="eastAsia" w:ascii="宋体" w:hAnsi="宋体"/>
          <w:color w:val="000000"/>
          <w:sz w:val="24"/>
          <w:szCs w:val="20"/>
          <w:highlight w:val="none"/>
        </w:rPr>
        <w:t>处</w:t>
      </w:r>
      <w:r>
        <w:rPr>
          <w:rFonts w:ascii="宋体" w:hAnsi="宋体"/>
          <w:color w:val="000000"/>
          <w:sz w:val="24"/>
          <w:szCs w:val="20"/>
          <w:highlight w:val="none"/>
        </w:rPr>
        <w:t>的签署人可为单位负责人</w:t>
      </w:r>
      <w:r>
        <w:rPr>
          <w:rFonts w:hint="eastAsia" w:ascii="宋体" w:hAnsi="宋体"/>
          <w:color w:val="000000"/>
          <w:sz w:val="24"/>
          <w:szCs w:val="20"/>
          <w:highlight w:val="none"/>
        </w:rPr>
        <w:t>。</w:t>
      </w:r>
    </w:p>
    <w:p>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3.</w:t>
      </w:r>
      <w:r>
        <w:rPr>
          <w:rFonts w:hint="eastAsia" w:ascii="宋体" w:hAnsi="宋体"/>
          <w:color w:val="000000"/>
          <w:sz w:val="24"/>
          <w:szCs w:val="20"/>
          <w:highlight w:val="none"/>
        </w:rPr>
        <w:t>供应商为自然人的情形，可不提供本</w:t>
      </w:r>
      <w:r>
        <w:rPr>
          <w:rFonts w:ascii="宋体" w:hAnsi="宋体"/>
          <w:color w:val="000000"/>
          <w:sz w:val="24"/>
          <w:szCs w:val="20"/>
          <w:highlight w:val="none"/>
        </w:rPr>
        <w:t>《</w:t>
      </w:r>
      <w:r>
        <w:rPr>
          <w:rFonts w:hint="eastAsia" w:ascii="宋体" w:hAnsi="宋体"/>
          <w:color w:val="000000"/>
          <w:sz w:val="24"/>
          <w:szCs w:val="20"/>
          <w:highlight w:val="none"/>
        </w:rPr>
        <w:t>授权委托书</w:t>
      </w:r>
      <w:r>
        <w:rPr>
          <w:rFonts w:ascii="宋体" w:hAnsi="宋体"/>
          <w:color w:val="000000"/>
          <w:sz w:val="24"/>
          <w:szCs w:val="20"/>
          <w:highlight w:val="none"/>
        </w:rPr>
        <w:t>》</w:t>
      </w:r>
      <w:r>
        <w:rPr>
          <w:rFonts w:hint="eastAsia" w:ascii="宋体" w:hAnsi="宋体"/>
          <w:color w:val="000000"/>
          <w:sz w:val="24"/>
          <w:szCs w:val="20"/>
          <w:highlight w:val="none"/>
        </w:rPr>
        <w:t>。</w:t>
      </w:r>
    </w:p>
    <w:p>
      <w:pPr>
        <w:rPr>
          <w:rFonts w:hint="eastAsia" w:ascii="宋体" w:hAnsi="宋体"/>
          <w:color w:val="000000"/>
          <w:sz w:val="24"/>
          <w:szCs w:val="20"/>
          <w:highlight w:val="none"/>
        </w:rPr>
      </w:pPr>
      <w:r>
        <w:rPr>
          <w:rFonts w:hint="eastAsia" w:ascii="宋体" w:hAnsi="宋体"/>
          <w:color w:val="000000"/>
          <w:sz w:val="24"/>
          <w:szCs w:val="20"/>
          <w:highlight w:val="none"/>
        </w:rPr>
        <w:br w:type="page"/>
      </w:r>
    </w:p>
    <w:p>
      <w:pPr>
        <w:pStyle w:val="505"/>
        <w:spacing w:line="360" w:lineRule="auto"/>
        <w:jc w:val="both"/>
        <w:rPr>
          <w:rFonts w:hint="eastAsia" w:ascii="宋体" w:hAnsi="宋体" w:eastAsia="宋体" w:cs="宋体"/>
          <w:b/>
          <w:color w:val="auto"/>
          <w:sz w:val="24"/>
          <w:szCs w:val="24"/>
          <w:highlight w:val="none"/>
        </w:rPr>
      </w:pPr>
      <w:r>
        <w:rPr>
          <w:rFonts w:hint="eastAsia"/>
          <w:color w:val="000000"/>
          <w:sz w:val="24"/>
          <w:szCs w:val="20"/>
          <w:highlight w:val="none"/>
          <w:lang w:val="en-US" w:eastAsia="zh-CN"/>
        </w:rPr>
        <w:t xml:space="preserve">6 </w:t>
      </w:r>
      <w:r>
        <w:rPr>
          <w:rFonts w:hint="eastAsia" w:ascii="宋体" w:hAnsi="宋体" w:eastAsia="宋体" w:cs="宋体"/>
          <w:color w:val="000000"/>
          <w:sz w:val="24"/>
          <w:szCs w:val="20"/>
          <w:highlight w:val="none"/>
        </w:rPr>
        <w:t>授权委托书（实质性格式）</w:t>
      </w:r>
    </w:p>
    <w:p>
      <w:pPr>
        <w:pStyle w:val="505"/>
        <w:spacing w:line="360" w:lineRule="auto"/>
        <w:jc w:val="center"/>
        <w:rPr>
          <w:rFonts w:hint="eastAsia" w:eastAsia="宋体"/>
          <w:b/>
          <w:color w:val="auto"/>
          <w:sz w:val="24"/>
          <w:szCs w:val="24"/>
          <w:highlight w:val="none"/>
        </w:rPr>
      </w:pPr>
    </w:p>
    <w:p>
      <w:pPr>
        <w:pStyle w:val="505"/>
        <w:spacing w:line="360" w:lineRule="auto"/>
        <w:jc w:val="center"/>
        <w:rPr>
          <w:rFonts w:eastAsia="宋体"/>
          <w:b/>
          <w:color w:val="auto"/>
          <w:sz w:val="24"/>
          <w:szCs w:val="24"/>
          <w:highlight w:val="none"/>
        </w:rPr>
      </w:pPr>
      <w:r>
        <w:rPr>
          <w:rFonts w:hint="eastAsia" w:eastAsia="宋体"/>
          <w:b/>
          <w:color w:val="auto"/>
          <w:sz w:val="32"/>
          <w:szCs w:val="32"/>
          <w:highlight w:val="none"/>
        </w:rPr>
        <w:t>授权委托书</w:t>
      </w:r>
    </w:p>
    <w:p>
      <w:pPr>
        <w:adjustRightInd w:val="0"/>
        <w:snapToGrid w:val="0"/>
        <w:spacing w:line="360" w:lineRule="auto"/>
        <w:ind w:firstLine="516" w:firstLineChars="215"/>
        <w:rPr>
          <w:rFonts w:ascii="宋体" w:hAnsi="宋体"/>
          <w:color w:val="auto"/>
          <w:sz w:val="24"/>
          <w:szCs w:val="24"/>
          <w:highlight w:val="none"/>
        </w:rPr>
      </w:pPr>
      <w:r>
        <w:rPr>
          <w:rFonts w:hint="eastAsia" w:ascii="宋体" w:hAnsi="宋体"/>
          <w:color w:val="auto"/>
          <w:sz w:val="24"/>
          <w:szCs w:val="24"/>
          <w:highlight w:val="none"/>
        </w:rPr>
        <w:t>本授权委托书声明：</w:t>
      </w:r>
    </w:p>
    <w:p>
      <w:pPr>
        <w:adjustRightInd w:val="0"/>
        <w:snapToGrid w:val="0"/>
        <w:spacing w:line="360" w:lineRule="auto"/>
        <w:ind w:firstLine="516" w:firstLineChars="215"/>
        <w:rPr>
          <w:rFonts w:ascii="宋体" w:hAnsi="宋体"/>
          <w:color w:val="auto"/>
          <w:sz w:val="24"/>
          <w:szCs w:val="24"/>
          <w:highlight w:val="none"/>
        </w:rPr>
      </w:pPr>
      <w:r>
        <w:rPr>
          <w:rFonts w:hint="eastAsia" w:ascii="宋体" w:hAnsi="宋体"/>
          <w:color w:val="auto"/>
          <w:sz w:val="24"/>
          <w:szCs w:val="24"/>
          <w:highlight w:val="none"/>
        </w:rPr>
        <w:t>我 ___________(姓名)系_________________（竞标单位名称）的法定代表人，现授权委托__________________（被授权人的姓名、职务）为本次竞标中我单位的合法代理人，全权负责参加本次项目的竞标、签订合约以及与之相关的各项工作。本竞标单位对被授权人的签名负全部责任。</w:t>
      </w:r>
    </w:p>
    <w:p>
      <w:pPr>
        <w:adjustRightInd w:val="0"/>
        <w:snapToGrid w:val="0"/>
        <w:spacing w:line="360" w:lineRule="auto"/>
        <w:ind w:firstLine="397"/>
        <w:rPr>
          <w:rFonts w:ascii="宋体" w:hAnsi="宋体"/>
          <w:color w:val="auto"/>
          <w:sz w:val="24"/>
          <w:szCs w:val="24"/>
          <w:highlight w:val="none"/>
        </w:rPr>
      </w:pPr>
      <w:r>
        <w:rPr>
          <w:rFonts w:hint="eastAsia" w:ascii="宋体" w:hAnsi="宋体"/>
          <w:color w:val="auto"/>
          <w:sz w:val="24"/>
          <w:szCs w:val="24"/>
          <w:highlight w:val="none"/>
        </w:rPr>
        <w:t>本授权书于__________年_______月________日签字生效，特此声明。</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法定代表人签字或盖章：                       日期：</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职务：                                       联系电话：</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                                   地址：</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身份证号码：</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委托代理人（被授权人）签字或盖章：           日期：</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职务：                                       联系电话：</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                                   地址：</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身份证号码：</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竞标单位公章：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地址：                                       电话：</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传真：                                       邮编：</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帐号：</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代理人身份证</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（复印件）粘贴处</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1、法定代表人参加开标会议时，需携带本人身份证原件。</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2、委托代理人参加开标会议时，需携带授权委托书和本人身份证原件。</w:t>
      </w:r>
    </w:p>
    <w:p>
      <w:pPr>
        <w:widowControl/>
        <w:jc w:val="left"/>
        <w:rPr>
          <w:color w:val="000000"/>
          <w:sz w:val="24"/>
          <w:highlight w:val="none"/>
        </w:rPr>
      </w:pPr>
      <w:r>
        <w:rPr>
          <w:rFonts w:hint="eastAsia"/>
          <w:color w:val="000000"/>
          <w:sz w:val="24"/>
          <w:highlight w:val="none"/>
          <w:lang w:val="en-US" w:eastAsia="zh-CN"/>
        </w:rPr>
        <w:t>7</w:t>
      </w:r>
      <w:r>
        <w:rPr>
          <w:rFonts w:hint="eastAsia"/>
          <w:color w:val="000000"/>
          <w:sz w:val="24"/>
          <w:highlight w:val="none"/>
        </w:rPr>
        <w:t>采购供应商信用承诺书</w:t>
      </w:r>
      <w:r>
        <w:rPr>
          <w:color w:val="000000"/>
          <w:sz w:val="24"/>
          <w:szCs w:val="20"/>
          <w:highlight w:val="none"/>
        </w:rPr>
        <w:t>（实质性格式）</w:t>
      </w:r>
    </w:p>
    <w:p>
      <w:pPr>
        <w:spacing w:line="560" w:lineRule="exact"/>
        <w:ind w:firstLine="321" w:firstLineChars="100"/>
        <w:jc w:val="center"/>
        <w:rPr>
          <w:rFonts w:ascii="黑体" w:hAnsi="黑体" w:eastAsia="黑体"/>
          <w:b/>
          <w:sz w:val="32"/>
          <w:szCs w:val="32"/>
          <w:highlight w:val="none"/>
        </w:rPr>
      </w:pPr>
    </w:p>
    <w:p>
      <w:pPr>
        <w:spacing w:line="560" w:lineRule="exact"/>
        <w:ind w:firstLine="321" w:firstLineChars="100"/>
        <w:jc w:val="center"/>
        <w:rPr>
          <w:rFonts w:ascii="黑体" w:hAnsi="黑体" w:eastAsia="黑体"/>
          <w:b/>
          <w:sz w:val="32"/>
          <w:szCs w:val="32"/>
          <w:highlight w:val="none"/>
        </w:rPr>
      </w:pPr>
      <w:r>
        <w:rPr>
          <w:rFonts w:hint="eastAsia" w:ascii="黑体" w:hAnsi="黑体" w:eastAsia="黑体"/>
          <w:b/>
          <w:sz w:val="32"/>
          <w:szCs w:val="32"/>
          <w:highlight w:val="none"/>
        </w:rPr>
        <w:t>采购供应商信用承诺书</w:t>
      </w:r>
    </w:p>
    <w:p>
      <w:pPr>
        <w:ind w:firstLine="640"/>
        <w:rPr>
          <w:snapToGrid w:val="0"/>
          <w:kern w:val="0"/>
          <w:highlight w:val="none"/>
        </w:rPr>
      </w:pPr>
    </w:p>
    <w:p>
      <w:pPr>
        <w:spacing w:line="276" w:lineRule="auto"/>
        <w:ind w:firstLine="480"/>
        <w:rPr>
          <w:rFonts w:ascii="宋体" w:hAnsi="宋体"/>
          <w:sz w:val="24"/>
          <w:highlight w:val="none"/>
        </w:rPr>
      </w:pPr>
      <w:r>
        <w:rPr>
          <w:rFonts w:hint="eastAsia" w:ascii="宋体" w:hAnsi="宋体"/>
          <w:sz w:val="24"/>
          <w:highlight w:val="none"/>
        </w:rPr>
        <w:t>为维护公开、公平、公正的政府采购市场秩序，树立诚实守信的供应商形象，本单位在参与政府采购活动中,自愿作出以下承诺：</w:t>
      </w:r>
    </w:p>
    <w:p>
      <w:pPr>
        <w:spacing w:line="276" w:lineRule="auto"/>
        <w:ind w:firstLine="480"/>
        <w:rPr>
          <w:rFonts w:ascii="宋体" w:hAnsi="宋体"/>
          <w:sz w:val="24"/>
          <w:highlight w:val="none"/>
        </w:rPr>
      </w:pPr>
      <w:r>
        <w:rPr>
          <w:rFonts w:hint="eastAsia" w:ascii="宋体" w:hAnsi="宋体"/>
          <w:sz w:val="24"/>
          <w:highlight w:val="none"/>
        </w:rPr>
        <w:t>一、严格遵守国家法律、法规和规章，全面履行应尽的责任和义务，全面做到履约守信，具备《政府采购法》第二十二条第一款规定的条件。</w:t>
      </w:r>
    </w:p>
    <w:p>
      <w:pPr>
        <w:spacing w:line="276" w:lineRule="auto"/>
        <w:ind w:firstLine="480"/>
        <w:rPr>
          <w:rFonts w:ascii="宋体" w:hAnsi="宋体"/>
          <w:sz w:val="24"/>
          <w:highlight w:val="none"/>
        </w:rPr>
      </w:pPr>
      <w:r>
        <w:rPr>
          <w:rFonts w:hint="eastAsia" w:ascii="宋体" w:hAnsi="宋体"/>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276" w:lineRule="auto"/>
        <w:ind w:firstLine="480"/>
        <w:rPr>
          <w:rFonts w:ascii="宋体" w:hAnsi="宋体"/>
          <w:sz w:val="24"/>
          <w:highlight w:val="none"/>
        </w:rPr>
      </w:pPr>
      <w:r>
        <w:rPr>
          <w:rFonts w:hint="eastAsia" w:ascii="宋体" w:hAnsi="宋体"/>
          <w:sz w:val="24"/>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276" w:lineRule="auto"/>
        <w:ind w:firstLine="480"/>
        <w:rPr>
          <w:rFonts w:ascii="宋体" w:hAnsi="宋体"/>
          <w:sz w:val="24"/>
          <w:highlight w:val="none"/>
        </w:rPr>
      </w:pPr>
      <w:r>
        <w:rPr>
          <w:rFonts w:hint="eastAsia" w:ascii="宋体" w:hAnsi="宋体"/>
          <w:sz w:val="24"/>
          <w:highlight w:val="none"/>
        </w:rPr>
        <w:t>四、严格依法开展生产经营活动，主动接受行业监管，自愿接受依法开展的日常检查；违法失信经营后将自愿接受约束和惩戒，并依法承担相应责任。</w:t>
      </w:r>
    </w:p>
    <w:p>
      <w:pPr>
        <w:spacing w:line="276" w:lineRule="auto"/>
        <w:ind w:firstLine="480"/>
        <w:rPr>
          <w:rFonts w:ascii="宋体" w:hAnsi="宋体"/>
          <w:sz w:val="24"/>
          <w:highlight w:val="none"/>
        </w:rPr>
      </w:pPr>
      <w:r>
        <w:rPr>
          <w:rFonts w:hint="eastAsia" w:ascii="宋体" w:hAnsi="宋体"/>
          <w:sz w:val="24"/>
          <w:highlight w:val="none"/>
        </w:rPr>
        <w:t>五、承诺本单位自觉接受行政管理部门、行业组织、社会公众、新闻舆论的监督。</w:t>
      </w:r>
    </w:p>
    <w:p>
      <w:pPr>
        <w:spacing w:line="276" w:lineRule="auto"/>
        <w:ind w:firstLine="480"/>
        <w:rPr>
          <w:rFonts w:ascii="宋体" w:hAnsi="宋体"/>
          <w:sz w:val="24"/>
          <w:highlight w:val="none"/>
        </w:rPr>
      </w:pPr>
      <w:r>
        <w:rPr>
          <w:rFonts w:hint="eastAsia" w:ascii="宋体" w:hAnsi="宋体"/>
          <w:sz w:val="24"/>
          <w:highlight w:val="none"/>
        </w:rPr>
        <w:t>六、承诺本单位自我约束、自我管理，重合同、守信用，不制假售假、商标侵权、虚假宣传、违约毁约、恶意逃债、偷税漏税、价格欺诈、垄断和不正当竞争，维护经营者、消费者的合法权益。</w:t>
      </w:r>
    </w:p>
    <w:p>
      <w:pPr>
        <w:spacing w:line="276" w:lineRule="auto"/>
        <w:ind w:firstLine="480"/>
        <w:rPr>
          <w:rFonts w:ascii="宋体" w:hAnsi="宋体"/>
          <w:sz w:val="24"/>
          <w:highlight w:val="none"/>
        </w:rPr>
      </w:pPr>
      <w:r>
        <w:rPr>
          <w:rFonts w:hint="eastAsia" w:ascii="宋体" w:hAnsi="宋体"/>
          <w:sz w:val="24"/>
          <w:highlight w:val="none"/>
        </w:rPr>
        <w:t>七、承诺本单位在信用中国（江苏）网站中无违法违规、较重或严重失信记录。</w:t>
      </w:r>
    </w:p>
    <w:p>
      <w:pPr>
        <w:spacing w:line="276" w:lineRule="auto"/>
        <w:ind w:firstLine="480"/>
        <w:rPr>
          <w:rFonts w:ascii="宋体" w:hAnsi="宋体"/>
          <w:sz w:val="24"/>
          <w:highlight w:val="none"/>
        </w:rPr>
      </w:pPr>
      <w:r>
        <w:rPr>
          <w:rFonts w:hint="eastAsia" w:ascii="宋体" w:hAnsi="宋体"/>
          <w:sz w:val="24"/>
          <w:highlight w:val="none"/>
        </w:rPr>
        <w:t>八、承诺本单位提出政府采购质疑和投诉坚持依法依规、诚实信用原则。</w:t>
      </w:r>
    </w:p>
    <w:p>
      <w:pPr>
        <w:spacing w:line="276" w:lineRule="auto"/>
        <w:ind w:firstLine="480"/>
        <w:rPr>
          <w:rFonts w:ascii="宋体" w:hAnsi="宋体"/>
          <w:sz w:val="24"/>
          <w:highlight w:val="none"/>
        </w:rPr>
      </w:pPr>
      <w:r>
        <w:rPr>
          <w:rFonts w:hint="eastAsia" w:ascii="宋体" w:hAnsi="宋体"/>
          <w:sz w:val="24"/>
          <w:highlight w:val="none"/>
        </w:rPr>
        <w:t>九、根据政府采购相关法律法规的规定需要作出的其他承诺。</w:t>
      </w:r>
    </w:p>
    <w:p>
      <w:pPr>
        <w:spacing w:line="276" w:lineRule="auto"/>
        <w:ind w:firstLine="480"/>
        <w:rPr>
          <w:rFonts w:ascii="宋体" w:hAnsi="宋体"/>
          <w:sz w:val="24"/>
          <w:highlight w:val="none"/>
        </w:rPr>
      </w:pPr>
      <w:r>
        <w:rPr>
          <w:rFonts w:hint="eastAsia" w:ascii="宋体" w:hAnsi="宋体"/>
          <w:sz w:val="24"/>
          <w:highlight w:val="none"/>
        </w:rPr>
        <w:t>十、承诺本单位若违背承诺约定，经查实，愿意接受行业主管部门和信用管理部门相应的规定处罚，承担违约责任，并依法承担相应的法律责任。</w:t>
      </w:r>
    </w:p>
    <w:p>
      <w:pPr>
        <w:spacing w:line="276" w:lineRule="auto"/>
        <w:ind w:firstLine="480"/>
        <w:rPr>
          <w:rFonts w:ascii="宋体" w:hAnsi="宋体"/>
          <w:sz w:val="24"/>
          <w:highlight w:val="none"/>
        </w:rPr>
      </w:pPr>
      <w:r>
        <w:rPr>
          <w:rFonts w:hint="eastAsia" w:ascii="宋体" w:hAnsi="宋体"/>
          <w:sz w:val="24"/>
          <w:highlight w:val="none"/>
        </w:rPr>
        <w:t>十一、承诺本单位同意将以上承诺事项上网公示，违背承诺约定行为将作为失信信息，记录到常州市公共信用信息系统，并予以公开。</w:t>
      </w:r>
    </w:p>
    <w:p>
      <w:pPr>
        <w:pStyle w:val="271"/>
        <w:spacing w:line="276" w:lineRule="auto"/>
        <w:ind w:right="1050" w:rightChars="500" w:firstLine="2880" w:firstLineChars="1200"/>
        <w:jc w:val="both"/>
        <w:rPr>
          <w:rFonts w:ascii="宋体" w:hAnsi="宋体" w:eastAsia="宋体"/>
          <w:sz w:val="24"/>
          <w:szCs w:val="22"/>
          <w:highlight w:val="none"/>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日期：_____年______月______日</w:t>
      </w:r>
    </w:p>
    <w:p>
      <w:pPr>
        <w:spacing w:line="360" w:lineRule="auto"/>
        <w:outlineLvl w:val="2"/>
        <w:rPr>
          <w:rFonts w:hint="default" w:eastAsia="宋体"/>
          <w:color w:val="000000"/>
          <w:sz w:val="24"/>
          <w:szCs w:val="20"/>
          <w:highlight w:val="none"/>
          <w:lang w:val="en-US" w:eastAsia="zh-CN"/>
        </w:rPr>
      </w:pPr>
      <w:r>
        <w:rPr>
          <w:color w:val="000000"/>
          <w:sz w:val="24"/>
          <w:szCs w:val="20"/>
          <w:highlight w:val="none"/>
        </w:rPr>
        <w:br w:type="page"/>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color w:val="000000"/>
          <w:sz w:val="24"/>
          <w:szCs w:val="20"/>
          <w:highlight w:val="none"/>
          <w:lang w:val="en-US" w:eastAsia="zh-CN"/>
        </w:rPr>
        <w:t>8报价一览表</w:t>
      </w:r>
    </w:p>
    <w:p>
      <w:pPr>
        <w:tabs>
          <w:tab w:val="left" w:pos="1800"/>
          <w:tab w:val="left" w:pos="5580"/>
        </w:tabs>
        <w:spacing w:line="360" w:lineRule="auto"/>
        <w:jc w:val="center"/>
        <w:rPr>
          <w:color w:val="000000"/>
          <w:sz w:val="24"/>
          <w:highlight w:val="none"/>
        </w:rPr>
      </w:pPr>
      <w:r>
        <w:rPr>
          <w:rFonts w:hint="eastAsia"/>
          <w:b/>
          <w:color w:val="000000"/>
          <w:sz w:val="36"/>
          <w:szCs w:val="36"/>
          <w:highlight w:val="none"/>
          <w:lang w:val="en-US" w:eastAsia="zh-CN"/>
        </w:rPr>
        <w:t>报价一览表</w:t>
      </w:r>
    </w:p>
    <w:p>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项目编号：_____________________项目名称：_______________________</w:t>
      </w:r>
    </w:p>
    <w:tbl>
      <w:tblPr>
        <w:tblStyle w:val="51"/>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3217"/>
        <w:gridCol w:w="2204"/>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4" w:type="pct"/>
            <w:vMerge w:val="restart"/>
            <w:tcBorders>
              <w:top w:val="single" w:color="auto" w:sz="4" w:space="0"/>
              <w:left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序号</w:t>
            </w:r>
          </w:p>
        </w:tc>
        <w:tc>
          <w:tcPr>
            <w:tcW w:w="1961" w:type="pct"/>
            <w:vMerge w:val="restart"/>
            <w:tcBorders>
              <w:top w:val="single" w:color="auto" w:sz="4" w:space="0"/>
              <w:left w:val="single" w:color="auto" w:sz="4" w:space="0"/>
              <w:right w:val="single" w:color="auto" w:sz="4" w:space="0"/>
            </w:tcBorders>
            <w:vAlign w:val="center"/>
          </w:tcPr>
          <w:p>
            <w:pPr>
              <w:tabs>
                <w:tab w:val="left" w:pos="5580"/>
              </w:tabs>
              <w:jc w:val="center"/>
              <w:rPr>
                <w:rFonts w:hint="default" w:eastAsia="宋体"/>
                <w:b/>
                <w:sz w:val="24"/>
                <w:highlight w:val="none"/>
                <w:lang w:val="en-US" w:eastAsia="zh-CN"/>
              </w:rPr>
            </w:pPr>
            <w:r>
              <w:rPr>
                <w:rFonts w:hint="eastAsia"/>
                <w:b/>
                <w:sz w:val="24"/>
                <w:highlight w:val="none"/>
                <w:lang w:val="en-US" w:eastAsia="zh-CN"/>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4" w:type="pct"/>
            <w:vMerge w:val="continue"/>
            <w:tcBorders>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961" w:type="pct"/>
            <w:vMerge w:val="continue"/>
            <w:tcBorders>
              <w:left w:val="single" w:color="auto" w:sz="4" w:space="0"/>
              <w:bottom w:val="single" w:color="auto" w:sz="4" w:space="0"/>
              <w:right w:val="single" w:color="auto" w:sz="4" w:space="0"/>
            </w:tcBorders>
            <w:vAlign w:val="center"/>
          </w:tcPr>
          <w:p>
            <w:pPr>
              <w:tabs>
                <w:tab w:val="left" w:pos="5580"/>
              </w:tabs>
              <w:jc w:val="left"/>
              <w:rPr>
                <w:sz w:val="24"/>
                <w:highlight w:val="none"/>
              </w:rPr>
            </w:pPr>
          </w:p>
        </w:tc>
        <w:tc>
          <w:tcPr>
            <w:tcW w:w="134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eastAsia="宋体"/>
                <w:sz w:val="24"/>
                <w:highlight w:val="none"/>
                <w:lang w:val="en-US" w:eastAsia="zh-CN"/>
              </w:rPr>
            </w:pPr>
            <w:r>
              <w:rPr>
                <w:rFonts w:hint="eastAsia"/>
                <w:sz w:val="24"/>
                <w:highlight w:val="none"/>
                <w:lang w:val="en-US" w:eastAsia="zh-CN"/>
              </w:rPr>
              <w:t>大写（元）</w:t>
            </w:r>
          </w:p>
        </w:tc>
        <w:tc>
          <w:tcPr>
            <w:tcW w:w="119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eastAsia="宋体"/>
                <w:sz w:val="24"/>
                <w:highlight w:val="none"/>
                <w:lang w:val="en-US" w:eastAsia="zh-CN"/>
              </w:rPr>
            </w:pPr>
            <w:r>
              <w:rPr>
                <w:rFonts w:hint="eastAsia"/>
                <w:sz w:val="24"/>
                <w:highlight w:val="none"/>
                <w:lang w:val="en-US" w:eastAsia="zh-CN"/>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4" w:type="pct"/>
            <w:tcBorders>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1961" w:type="pct"/>
            <w:tcBorders>
              <w:left w:val="single" w:color="auto" w:sz="4" w:space="0"/>
              <w:bottom w:val="single" w:color="auto" w:sz="4" w:space="0"/>
              <w:right w:val="single" w:color="auto" w:sz="4" w:space="0"/>
            </w:tcBorders>
            <w:vAlign w:val="center"/>
          </w:tcPr>
          <w:p>
            <w:pPr>
              <w:tabs>
                <w:tab w:val="left" w:pos="5580"/>
              </w:tabs>
              <w:jc w:val="left"/>
              <w:rPr>
                <w:sz w:val="24"/>
                <w:highlight w:val="none"/>
              </w:rPr>
            </w:pPr>
          </w:p>
        </w:tc>
        <w:tc>
          <w:tcPr>
            <w:tcW w:w="134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sz w:val="24"/>
                <w:highlight w:val="none"/>
                <w:lang w:val="en-US" w:eastAsia="zh-CN"/>
              </w:rPr>
            </w:pPr>
          </w:p>
        </w:tc>
        <w:tc>
          <w:tcPr>
            <w:tcW w:w="119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456"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r>
              <w:rPr>
                <w:sz w:val="24"/>
                <w:highlight w:val="none"/>
              </w:rPr>
              <w:t>项目负责人</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456"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eastAsia="宋体"/>
                <w:sz w:val="24"/>
                <w:highlight w:val="none"/>
                <w:lang w:val="en-US" w:eastAsia="zh-CN"/>
              </w:rPr>
            </w:pPr>
            <w:r>
              <w:rPr>
                <w:rFonts w:hint="eastAsia"/>
                <w:sz w:val="24"/>
                <w:highlight w:val="none"/>
                <w:lang w:val="en-US" w:eastAsia="zh-CN"/>
              </w:rPr>
              <w:t>工期</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456"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default"/>
                <w:sz w:val="24"/>
                <w:highlight w:val="none"/>
                <w:lang w:val="en-US" w:eastAsia="zh-CN"/>
              </w:rPr>
            </w:pPr>
            <w:r>
              <w:rPr>
                <w:rFonts w:hint="eastAsia"/>
                <w:sz w:val="24"/>
                <w:highlight w:val="none"/>
                <w:lang w:val="en-US" w:eastAsia="zh-CN"/>
              </w:rPr>
              <w:t>质量</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r>
    </w:tbl>
    <w:p>
      <w:pPr>
        <w:autoSpaceDE w:val="0"/>
        <w:autoSpaceDN w:val="0"/>
        <w:adjustRightInd w:val="0"/>
        <w:jc w:val="left"/>
        <w:rPr>
          <w:color w:val="000000"/>
          <w:kern w:val="0"/>
          <w:sz w:val="24"/>
          <w:highlight w:val="none"/>
        </w:rPr>
      </w:pPr>
    </w:p>
    <w:p>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.此表中，投标报价应和《</w:t>
      </w:r>
      <w:r>
        <w:rPr>
          <w:rFonts w:hint="eastAsia"/>
          <w:color w:val="000000"/>
          <w:sz w:val="24"/>
          <w:szCs w:val="20"/>
          <w:highlight w:val="none"/>
          <w:lang w:val="en-US" w:eastAsia="zh-CN"/>
        </w:rPr>
        <w:t>工程量清单报价表</w:t>
      </w:r>
      <w:r>
        <w:rPr>
          <w:color w:val="000000"/>
          <w:sz w:val="24"/>
          <w:szCs w:val="20"/>
          <w:highlight w:val="none"/>
        </w:rPr>
        <w:t>》中的总价相一致。</w:t>
      </w:r>
    </w:p>
    <w:p>
      <w:pPr>
        <w:autoSpaceDE w:val="0"/>
        <w:autoSpaceDN w:val="0"/>
        <w:adjustRightInd w:val="0"/>
        <w:jc w:val="left"/>
        <w:rPr>
          <w:color w:val="000000"/>
          <w:kern w:val="0"/>
          <w:sz w:val="24"/>
          <w:highlight w:val="none"/>
        </w:rPr>
      </w:pPr>
    </w:p>
    <w:p>
      <w:pPr>
        <w:autoSpaceDE w:val="0"/>
        <w:autoSpaceDN w:val="0"/>
        <w:adjustRightInd w:val="0"/>
        <w:snapToGrid w:val="0"/>
        <w:spacing w:before="25" w:after="25" w:line="360" w:lineRule="auto"/>
        <w:rPr>
          <w:color w:val="000000"/>
          <w:sz w:val="24"/>
          <w:highlight w:val="none"/>
          <w:lang w:val="zh-CN"/>
        </w:rPr>
      </w:pPr>
    </w:p>
    <w:p>
      <w:pPr>
        <w:autoSpaceDE w:val="0"/>
        <w:autoSpaceDN w:val="0"/>
        <w:adjustRightInd w:val="0"/>
        <w:snapToGrid w:val="0"/>
        <w:spacing w:before="25" w:after="25" w:line="360" w:lineRule="auto"/>
        <w:rPr>
          <w:color w:val="000000"/>
          <w:sz w:val="24"/>
          <w:highlight w:val="none"/>
          <w:lang w:val="zh-CN"/>
        </w:rPr>
      </w:pPr>
      <w:bookmarkStart w:id="833" w:name="_Toc195842927"/>
      <w:bookmarkStart w:id="834" w:name="_Toc226309806"/>
      <w:bookmarkStart w:id="835" w:name="_Toc127151562"/>
      <w:bookmarkStart w:id="836" w:name="_Toc226337258"/>
      <w:bookmarkStart w:id="837" w:name="_Toc305158904"/>
      <w:bookmarkStart w:id="838" w:name="_Toc150480798"/>
      <w:bookmarkStart w:id="839" w:name="_Toc226965752"/>
      <w:bookmarkStart w:id="840" w:name="_Toc264969252"/>
      <w:bookmarkStart w:id="841" w:name="_Toc305158830"/>
      <w:bookmarkStart w:id="842" w:name="_Toc150774765"/>
      <w:bookmarkStart w:id="843" w:name="_Toc142311062"/>
      <w:bookmarkStart w:id="844" w:name="_Toc265228400"/>
      <w:bookmarkStart w:id="845" w:name="_Toc226965835"/>
      <w:bookmarkStart w:id="846" w:name="_Toc127151561"/>
      <w:bookmarkStart w:id="847" w:name="_Toc226965834"/>
      <w:bookmarkStart w:id="848" w:name="_Toc150480797"/>
      <w:bookmarkStart w:id="849" w:name="_Toc264969251"/>
      <w:bookmarkStart w:id="850" w:name="_Toc226309805"/>
      <w:bookmarkStart w:id="851" w:name="_Toc265228399"/>
      <w:bookmarkStart w:id="852" w:name="_Toc305158903"/>
      <w:bookmarkStart w:id="853" w:name="_Toc226337257"/>
      <w:bookmarkStart w:id="854" w:name="_Toc226965751"/>
      <w:bookmarkStart w:id="855" w:name="_Toc305158829"/>
      <w:bookmarkStart w:id="856" w:name="_Toc195842926"/>
      <w:bookmarkStart w:id="857" w:name="_Toc142311061"/>
      <w:bookmarkStart w:id="858" w:name="_Toc150774764"/>
      <w:r>
        <w:rPr>
          <w:color w:val="000000"/>
          <w:sz w:val="24"/>
          <w:highlight w:val="none"/>
        </w:rPr>
        <w:t>供应商名称（加盖公章）</w:t>
      </w:r>
      <w:r>
        <w:rPr>
          <w:color w:val="000000"/>
          <w:sz w:val="24"/>
          <w:highlight w:val="none"/>
          <w:lang w:val="zh-CN"/>
        </w:rPr>
        <w:t>：____________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日期：_____年______月______日</w:t>
      </w: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widowControl/>
        <w:jc w:val="left"/>
        <w:rPr>
          <w:color w:val="000000"/>
          <w:sz w:val="24"/>
          <w:szCs w:val="20"/>
          <w:highlight w:val="none"/>
        </w:rPr>
      </w:pPr>
      <w:r>
        <w:rPr>
          <w:color w:val="000000"/>
          <w:sz w:val="24"/>
          <w:szCs w:val="20"/>
          <w:highlight w:val="none"/>
        </w:rPr>
        <w:br w:type="page"/>
      </w:r>
    </w:p>
    <w:p>
      <w:pPr>
        <w:rPr>
          <w:rFonts w:hint="eastAsia"/>
          <w:color w:val="000000"/>
          <w:sz w:val="24"/>
          <w:szCs w:val="20"/>
          <w:highlight w:val="none"/>
          <w:lang w:val="en-US" w:eastAsia="zh-CN"/>
        </w:rPr>
      </w:pPr>
      <w:r>
        <w:rPr>
          <w:rFonts w:hint="eastAsia"/>
          <w:color w:val="000000"/>
          <w:sz w:val="24"/>
          <w:szCs w:val="20"/>
          <w:highlight w:val="none"/>
          <w:lang w:val="en-US" w:eastAsia="zh-CN"/>
        </w:rPr>
        <w:t>9 工程量清单报价表</w:t>
      </w:r>
    </w:p>
    <w:tbl>
      <w:tblPr>
        <w:tblStyle w:val="5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664"/>
        <w:gridCol w:w="696"/>
        <w:gridCol w:w="936"/>
        <w:gridCol w:w="936"/>
        <w:gridCol w:w="936"/>
        <w:gridCol w:w="3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碳晶板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先，进行碳晶板的安装之前，需要做好相关的准备工作。包括清理墙面和地面，检查和修补不平的表面，进行基础材料的防水处理等。在进行碳晶板的安装之前，需要将板材进行测量，并根据测量结果进行切割。需要注意的是，碳晶板的切割必须使用特殊的切割工具，并采取正确的操作方法，以避免板材破裂。在碳晶板进行切割后，进行安装。首先将胶水均匀涂在墙面和地面上，然后将碳晶板按照顺序放置在粘合面上，并用专用工具压平、挤压，以确保板材和基材之间的粘合牢固。在安装时，需要注意间隔和花样的搭配，以达到最佳的装修效果。在碳晶板安装完成之后，需要进行收尾工作。包括填缝、油漆等处理，以去除不规则的部分，达到完善且漂亮的装饰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玻璃隔断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钢化磨砂玻璃8mm，甲级防火标准，隔音12db-52db。 步骤一：弹线定位。根据隔墙安装定位控制线，先在地面弹出隔墙的位置线，再用垂直线法在墙、柱上弹出位置及高度线和沿顶位置线，有框玻璃隔断标出竖框间隔和固定点位置。 步骤二：框材下料。有框玻璃隔断墙型材下料时，应先复核现场实际尺寸，有水平横挡时，每个竖况均以底边为准，在竖框上划出横档位置线和连接部位的安装尺寸线，以保证连接件安装位置准确和横挡在同一水平线上。下料应使用专用工具(型材切割机)，保证切口光滑、整齐。 步骤三：安装框架、边框。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带框玻璃门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零星维修</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增加光源，矿棉板，开关插座,空调维修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墙体饰面拆除+垃圾清运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柜体制作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实木多层柜体，灯带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管理费(5%)：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税点（3%）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bl>
    <w:p>
      <w:pPr>
        <w:pStyle w:val="19"/>
        <w:rPr>
          <w:rFonts w:hint="eastAsia"/>
          <w:color w:val="000000"/>
          <w:sz w:val="24"/>
          <w:szCs w:val="20"/>
          <w:highlight w:val="none"/>
          <w:lang w:val="en-US" w:eastAsia="zh-CN"/>
        </w:rPr>
      </w:pPr>
    </w:p>
    <w:p>
      <w:pPr>
        <w:rPr>
          <w:rFonts w:hint="eastAsia"/>
          <w:color w:val="000000"/>
          <w:sz w:val="24"/>
          <w:szCs w:val="20"/>
          <w:highlight w:val="none"/>
          <w:lang w:val="en-US" w:eastAsia="zh-CN"/>
        </w:rPr>
      </w:pPr>
    </w:p>
    <w:p>
      <w:pPr>
        <w:pStyle w:val="19"/>
        <w:rPr>
          <w:rFonts w:hint="eastAsia"/>
          <w:color w:val="000000"/>
          <w:sz w:val="24"/>
          <w:szCs w:val="20"/>
          <w:highlight w:val="none"/>
          <w:lang w:val="en-US" w:eastAsia="zh-CN"/>
        </w:rPr>
      </w:pPr>
    </w:p>
    <w:p>
      <w:pPr>
        <w:rPr>
          <w:rFonts w:hint="eastAsia"/>
          <w:color w:val="000000"/>
          <w:sz w:val="24"/>
          <w:szCs w:val="20"/>
          <w:highlight w:val="none"/>
          <w:lang w:val="en-US" w:eastAsia="zh-CN"/>
        </w:rPr>
      </w:pPr>
    </w:p>
    <w:p>
      <w:pPr>
        <w:pStyle w:val="19"/>
        <w:rPr>
          <w:rFonts w:hint="eastAsia"/>
          <w:color w:val="000000"/>
          <w:sz w:val="24"/>
          <w:szCs w:val="20"/>
          <w:highlight w:val="none"/>
          <w:lang w:val="en-US" w:eastAsia="zh-CN"/>
        </w:rPr>
      </w:pPr>
    </w:p>
    <w:p>
      <w:pPr>
        <w:rPr>
          <w:rFonts w:hint="eastAsia"/>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pPr>
        <w:autoSpaceDE w:val="0"/>
        <w:autoSpaceDN w:val="0"/>
        <w:adjustRightInd w:val="0"/>
        <w:snapToGrid w:val="0"/>
        <w:spacing w:before="25" w:after="25" w:line="360" w:lineRule="auto"/>
        <w:rPr>
          <w:color w:val="000000"/>
          <w:sz w:val="24"/>
          <w:szCs w:val="20"/>
          <w:highlight w:val="none"/>
        </w:rPr>
      </w:pPr>
      <w:r>
        <w:rPr>
          <w:color w:val="000000"/>
          <w:sz w:val="24"/>
          <w:szCs w:val="20"/>
          <w:highlight w:val="none"/>
        </w:rPr>
        <w:t>日期：_____年______月______日</w:t>
      </w:r>
    </w:p>
    <w:p>
      <w:pPr>
        <w:pStyle w:val="19"/>
        <w:rPr>
          <w:color w:val="000000"/>
          <w:sz w:val="24"/>
          <w:szCs w:val="20"/>
          <w:highlight w:val="none"/>
        </w:rPr>
      </w:pPr>
    </w:p>
    <w:p>
      <w:pPr>
        <w:rPr>
          <w:color w:val="000000"/>
          <w:sz w:val="24"/>
          <w:szCs w:val="20"/>
          <w:highlight w:val="none"/>
        </w:rPr>
      </w:pPr>
    </w:p>
    <w:p>
      <w:pPr>
        <w:pStyle w:val="19"/>
        <w:rPr>
          <w:color w:val="000000"/>
          <w:sz w:val="24"/>
          <w:szCs w:val="20"/>
          <w:highlight w:val="none"/>
        </w:rPr>
      </w:pPr>
    </w:p>
    <w:p>
      <w:pPr>
        <w:rPr>
          <w:color w:val="000000"/>
          <w:sz w:val="24"/>
          <w:szCs w:val="20"/>
          <w:highlight w:val="none"/>
        </w:rPr>
      </w:pPr>
    </w:p>
    <w:p>
      <w:pPr>
        <w:pStyle w:val="19"/>
        <w:rPr>
          <w:color w:val="000000"/>
          <w:sz w:val="24"/>
          <w:szCs w:val="20"/>
          <w:highlight w:val="none"/>
        </w:rPr>
      </w:pPr>
    </w:p>
    <w:p>
      <w:pPr>
        <w:rPr>
          <w:lang w:val="zh-CN"/>
        </w:rPr>
      </w:pPr>
    </w:p>
    <w:p>
      <w:pPr>
        <w:rPr>
          <w:rFonts w:hint="eastAsia"/>
          <w:color w:val="000000"/>
          <w:sz w:val="24"/>
          <w:szCs w:val="20"/>
          <w:highlight w:val="none"/>
          <w:lang w:val="en-US" w:eastAsia="zh-CN"/>
        </w:rPr>
      </w:pPr>
      <w:r>
        <w:rPr>
          <w:rFonts w:hint="eastAsia"/>
          <w:color w:val="000000"/>
          <w:sz w:val="24"/>
          <w:szCs w:val="20"/>
          <w:highlight w:val="none"/>
          <w:lang w:val="en-US" w:eastAsia="zh-CN"/>
        </w:rPr>
        <w:br w:type="page"/>
      </w:r>
    </w:p>
    <w:p>
      <w:pPr>
        <w:rPr>
          <w:rFonts w:hint="eastAsia"/>
        </w:rPr>
      </w:pPr>
    </w:p>
    <w:p>
      <w:pPr>
        <w:spacing w:line="360" w:lineRule="auto"/>
        <w:outlineLvl w:val="2"/>
        <w:rPr>
          <w:color w:val="000000"/>
          <w:sz w:val="24"/>
          <w:szCs w:val="20"/>
          <w:highlight w:val="none"/>
        </w:rPr>
      </w:pPr>
      <w:r>
        <w:rPr>
          <w:rFonts w:hint="eastAsia"/>
          <w:color w:val="000000"/>
          <w:sz w:val="24"/>
          <w:szCs w:val="20"/>
          <w:highlight w:val="none"/>
          <w:lang w:val="en-US" w:eastAsia="zh-CN"/>
        </w:rPr>
        <w:t xml:space="preserve">10 </w:t>
      </w:r>
      <w:r>
        <w:rPr>
          <w:color w:val="000000"/>
          <w:sz w:val="24"/>
          <w:szCs w:val="20"/>
          <w:highlight w:val="none"/>
        </w:rPr>
        <w:t>合同条款偏离表</w:t>
      </w:r>
      <w:bookmarkEnd w:id="833"/>
      <w:bookmarkEnd w:id="834"/>
      <w:bookmarkEnd w:id="835"/>
      <w:bookmarkEnd w:id="836"/>
      <w:bookmarkEnd w:id="837"/>
      <w:bookmarkEnd w:id="838"/>
      <w:bookmarkEnd w:id="839"/>
      <w:bookmarkEnd w:id="840"/>
      <w:bookmarkEnd w:id="841"/>
      <w:bookmarkEnd w:id="842"/>
      <w:bookmarkEnd w:id="843"/>
      <w:bookmarkEnd w:id="844"/>
      <w:bookmarkEnd w:id="845"/>
    </w:p>
    <w:p>
      <w:pPr>
        <w:spacing w:line="360" w:lineRule="auto"/>
        <w:rPr>
          <w:color w:val="000000"/>
          <w:sz w:val="24"/>
          <w:szCs w:val="20"/>
          <w:highlight w:val="none"/>
        </w:rPr>
      </w:pPr>
    </w:p>
    <w:p>
      <w:pPr>
        <w:jc w:val="center"/>
        <w:rPr>
          <w:b/>
          <w:color w:val="000000"/>
          <w:sz w:val="36"/>
          <w:szCs w:val="36"/>
          <w:highlight w:val="none"/>
        </w:rPr>
      </w:pPr>
      <w:r>
        <w:rPr>
          <w:rFonts w:hint="eastAsia"/>
          <w:b/>
          <w:color w:val="000000"/>
          <w:sz w:val="36"/>
          <w:szCs w:val="36"/>
          <w:highlight w:val="none"/>
        </w:rPr>
        <w:t>合同条款偏离表</w:t>
      </w:r>
    </w:p>
    <w:p>
      <w:pPr>
        <w:jc w:val="center"/>
        <w:rPr>
          <w:color w:val="000000"/>
          <w:sz w:val="36"/>
          <w:szCs w:val="36"/>
          <w:highlight w:val="none"/>
        </w:rPr>
      </w:pPr>
    </w:p>
    <w:p>
      <w:pPr>
        <w:spacing w:line="360" w:lineRule="auto"/>
        <w:rPr>
          <w:color w:val="000000"/>
          <w:sz w:val="24"/>
          <w:szCs w:val="20"/>
          <w:highlight w:val="none"/>
        </w:rPr>
      </w:pPr>
    </w:p>
    <w:p>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项目编号：_______________项目名称：_____________________</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b/>
                <w:color w:val="000000"/>
                <w:sz w:val="24"/>
                <w:highlight w:val="none"/>
              </w:rPr>
            </w:pPr>
            <w:r>
              <w:rPr>
                <w:rFonts w:hint="eastAsia"/>
                <w:b/>
                <w:color w:val="000000"/>
                <w:sz w:val="24"/>
                <w:highlight w:val="none"/>
              </w:rPr>
              <w:t>对本项目合同条款的偏离情况（请进行勾选）：</w:t>
            </w:r>
          </w:p>
          <w:p>
            <w:pPr>
              <w:adjustRightInd w:val="0"/>
              <w:snapToGrid w:val="0"/>
              <w:jc w:val="left"/>
              <w:rPr>
                <w:b/>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如无偏离，仅勾选无偏离即可</w:t>
            </w:r>
            <w:r>
              <w:rPr>
                <w:color w:val="000000"/>
                <w:sz w:val="24"/>
                <w:highlight w:val="none"/>
              </w:rPr>
              <w:t>）</w:t>
            </w:r>
          </w:p>
          <w:p>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如有负偏离，</w:t>
            </w:r>
            <w:r>
              <w:rPr>
                <w:color w:val="000000"/>
                <w:sz w:val="24"/>
                <w:highlight w:val="none"/>
              </w:rPr>
              <w:t>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r>
              <w:rPr>
                <w:color w:val="000000"/>
                <w:sz w:val="24"/>
                <w:highlight w:val="none"/>
              </w:rPr>
              <w:t>序号</w:t>
            </w:r>
          </w:p>
        </w:tc>
        <w:tc>
          <w:tcPr>
            <w:tcW w:w="1301" w:type="dxa"/>
            <w:vAlign w:val="center"/>
          </w:tcPr>
          <w:p>
            <w:pPr>
              <w:adjustRightInd w:val="0"/>
              <w:snapToGrid w:val="0"/>
              <w:jc w:val="center"/>
              <w:rPr>
                <w:color w:val="000000"/>
                <w:sz w:val="24"/>
                <w:highlight w:val="none"/>
              </w:rPr>
            </w:pPr>
            <w:r>
              <w:rPr>
                <w:color w:val="000000"/>
                <w:sz w:val="24"/>
                <w:szCs w:val="21"/>
                <w:highlight w:val="none"/>
              </w:rPr>
              <w:t>磋商文件</w:t>
            </w:r>
            <w:r>
              <w:rPr>
                <w:color w:val="000000"/>
                <w:sz w:val="24"/>
                <w:highlight w:val="none"/>
              </w:rPr>
              <w:t>条目号（页码）</w:t>
            </w:r>
          </w:p>
        </w:tc>
        <w:tc>
          <w:tcPr>
            <w:tcW w:w="2007" w:type="dxa"/>
            <w:vAlign w:val="center"/>
          </w:tcPr>
          <w:p>
            <w:pPr>
              <w:adjustRightInd w:val="0"/>
              <w:snapToGrid w:val="0"/>
              <w:jc w:val="center"/>
              <w:rPr>
                <w:color w:val="000000"/>
                <w:sz w:val="24"/>
                <w:highlight w:val="none"/>
              </w:rPr>
            </w:pPr>
            <w:r>
              <w:rPr>
                <w:color w:val="000000"/>
                <w:sz w:val="24"/>
                <w:szCs w:val="21"/>
                <w:highlight w:val="none"/>
              </w:rPr>
              <w:t>磋商文件</w:t>
            </w:r>
            <w:r>
              <w:rPr>
                <w:color w:val="000000"/>
                <w:sz w:val="24"/>
                <w:highlight w:val="none"/>
              </w:rPr>
              <w:t>要求</w:t>
            </w:r>
          </w:p>
        </w:tc>
        <w:tc>
          <w:tcPr>
            <w:tcW w:w="2008" w:type="dxa"/>
            <w:vAlign w:val="center"/>
          </w:tcPr>
          <w:p>
            <w:pPr>
              <w:adjustRightInd w:val="0"/>
              <w:snapToGrid w:val="0"/>
              <w:jc w:val="center"/>
              <w:rPr>
                <w:color w:val="000000"/>
                <w:sz w:val="24"/>
                <w:highlight w:val="none"/>
              </w:rPr>
            </w:pPr>
            <w:r>
              <w:rPr>
                <w:color w:val="000000"/>
                <w:sz w:val="24"/>
                <w:highlight w:val="none"/>
              </w:rPr>
              <w:t>响应文件内容</w:t>
            </w:r>
          </w:p>
        </w:tc>
        <w:tc>
          <w:tcPr>
            <w:tcW w:w="2458" w:type="dxa"/>
            <w:vAlign w:val="center"/>
          </w:tcPr>
          <w:p>
            <w:pPr>
              <w:adjustRightInd w:val="0"/>
              <w:snapToGrid w:val="0"/>
              <w:jc w:val="center"/>
              <w:rPr>
                <w:color w:val="000000"/>
                <w:sz w:val="24"/>
                <w:highlight w:val="none"/>
              </w:rPr>
            </w:pPr>
            <w:r>
              <w:rPr>
                <w:color w:val="000000"/>
                <w:sz w:val="24"/>
                <w:highlight w:val="none"/>
              </w:rPr>
              <w:t>偏离情况</w:t>
            </w:r>
          </w:p>
          <w:p>
            <w:pPr>
              <w:adjustRightInd w:val="0"/>
              <w:snapToGrid w:val="0"/>
              <w:jc w:val="center"/>
              <w:rPr>
                <w:color w:val="000000"/>
                <w:sz w:val="24"/>
                <w:highlight w:val="none"/>
              </w:rPr>
            </w:pPr>
            <w:r>
              <w:rPr>
                <w:color w:val="000000"/>
                <w:sz w:val="24"/>
                <w:highlight w:val="none"/>
              </w:rPr>
              <w:t>（据实填写）</w:t>
            </w:r>
          </w:p>
        </w:tc>
        <w:tc>
          <w:tcPr>
            <w:tcW w:w="788" w:type="dxa"/>
            <w:vAlign w:val="center"/>
          </w:tcPr>
          <w:p>
            <w:pPr>
              <w:adjustRightInd w:val="0"/>
              <w:snapToGrid w:val="0"/>
              <w:jc w:val="center"/>
              <w:rPr>
                <w:color w:val="000000"/>
                <w:sz w:val="24"/>
                <w:highlight w:val="none"/>
              </w:rPr>
            </w:pPr>
            <w:r>
              <w:rPr>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adjustRightInd w:val="0"/>
              <w:snapToGrid w:val="0"/>
              <w:jc w:val="center"/>
              <w:rPr>
                <w:color w:val="000000"/>
                <w:sz w:val="24"/>
                <w:highlight w:val="none"/>
              </w:rPr>
            </w:pPr>
          </w:p>
        </w:tc>
        <w:tc>
          <w:tcPr>
            <w:tcW w:w="788"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adjustRightInd w:val="0"/>
              <w:snapToGrid w:val="0"/>
              <w:jc w:val="center"/>
              <w:rPr>
                <w:color w:val="000000"/>
                <w:sz w:val="24"/>
                <w:highlight w:val="none"/>
              </w:rPr>
            </w:pPr>
          </w:p>
        </w:tc>
        <w:tc>
          <w:tcPr>
            <w:tcW w:w="788"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adjustRightInd w:val="0"/>
              <w:snapToGrid w:val="0"/>
              <w:jc w:val="center"/>
              <w:rPr>
                <w:color w:val="000000"/>
                <w:sz w:val="24"/>
                <w:highlight w:val="none"/>
              </w:rPr>
            </w:pPr>
          </w:p>
        </w:tc>
        <w:tc>
          <w:tcPr>
            <w:tcW w:w="788"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adjustRightInd w:val="0"/>
              <w:snapToGrid w:val="0"/>
              <w:jc w:val="center"/>
              <w:rPr>
                <w:color w:val="000000"/>
                <w:sz w:val="24"/>
                <w:highlight w:val="none"/>
              </w:rPr>
            </w:pPr>
          </w:p>
        </w:tc>
        <w:tc>
          <w:tcPr>
            <w:tcW w:w="788" w:type="dxa"/>
            <w:vAlign w:val="center"/>
          </w:tcPr>
          <w:p>
            <w:pPr>
              <w:adjustRightInd w:val="0"/>
              <w:snapToGrid w:val="0"/>
              <w:jc w:val="center"/>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rFonts w:hint="eastAsia"/>
          <w:color w:val="000000"/>
          <w:sz w:val="24"/>
          <w:highlight w:val="none"/>
        </w:rPr>
        <w:t>注：</w:t>
      </w:r>
    </w:p>
    <w:p>
      <w:pPr>
        <w:tabs>
          <w:tab w:val="left" w:pos="1800"/>
          <w:tab w:val="left" w:pos="5580"/>
        </w:tabs>
        <w:jc w:val="left"/>
        <w:rPr>
          <w:sz w:val="24"/>
          <w:highlight w:val="none"/>
        </w:rPr>
      </w:pPr>
      <w:r>
        <w:rPr>
          <w:color w:val="000000"/>
          <w:sz w:val="24"/>
          <w:highlight w:val="none"/>
        </w:rPr>
        <w:t>1.</w:t>
      </w:r>
      <w:r>
        <w:rPr>
          <w:rFonts w:hint="eastAsia"/>
          <w:sz w:val="24"/>
          <w:highlight w:val="none"/>
        </w:rPr>
        <w:t>对合同条款中的所有要求，除本表所列明的所有偏离外，均视作供应商已对之理解和响应。</w:t>
      </w:r>
    </w:p>
    <w:p>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pPr>
        <w:spacing w:line="360" w:lineRule="auto"/>
        <w:rPr>
          <w:color w:val="000000"/>
          <w:sz w:val="24"/>
          <w:szCs w:val="20"/>
          <w:highlight w:val="none"/>
        </w:rPr>
      </w:pPr>
    </w:p>
    <w:p>
      <w:pPr>
        <w:autoSpaceDE w:val="0"/>
        <w:autoSpaceDN w:val="0"/>
        <w:adjustRightInd w:val="0"/>
        <w:snapToGrid w:val="0"/>
        <w:spacing w:before="25" w:after="25" w:line="360" w:lineRule="auto"/>
        <w:rPr>
          <w:color w:val="000000"/>
          <w:sz w:val="24"/>
          <w:highlight w:val="none"/>
          <w:lang w:val="zh-CN"/>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日期：_____年______月______日</w:t>
      </w:r>
    </w:p>
    <w:p>
      <w:pPr>
        <w:spacing w:line="360" w:lineRule="auto"/>
        <w:outlineLvl w:val="2"/>
        <w:rPr>
          <w:color w:val="000000"/>
          <w:sz w:val="24"/>
          <w:szCs w:val="20"/>
          <w:highlight w:val="none"/>
        </w:rPr>
      </w:pPr>
      <w:r>
        <w:rPr>
          <w:color w:val="000000"/>
          <w:sz w:val="24"/>
          <w:szCs w:val="20"/>
          <w:highlight w:val="none"/>
        </w:rPr>
        <w:br w:type="page"/>
      </w:r>
    </w:p>
    <w:bookmarkEnd w:id="846"/>
    <w:bookmarkEnd w:id="847"/>
    <w:bookmarkEnd w:id="848"/>
    <w:bookmarkEnd w:id="849"/>
    <w:bookmarkEnd w:id="850"/>
    <w:bookmarkEnd w:id="851"/>
    <w:bookmarkEnd w:id="852"/>
    <w:bookmarkEnd w:id="853"/>
    <w:bookmarkEnd w:id="854"/>
    <w:bookmarkEnd w:id="855"/>
    <w:bookmarkEnd w:id="856"/>
    <w:bookmarkEnd w:id="857"/>
    <w:bookmarkEnd w:id="858"/>
    <w:p>
      <w:pPr>
        <w:snapToGrid w:val="0"/>
        <w:spacing w:line="560" w:lineRule="exact"/>
        <w:ind w:firstLine="480" w:firstLineChars="200"/>
        <w:rPr>
          <w:rFonts w:hint="eastAsia"/>
          <w:color w:val="000000"/>
          <w:sz w:val="24"/>
          <w:szCs w:val="20"/>
          <w:highlight w:val="none"/>
          <w:lang w:val="en-US" w:eastAsia="zh-CN"/>
        </w:rPr>
      </w:pPr>
      <w:r>
        <w:rPr>
          <w:rFonts w:hint="eastAsia"/>
          <w:color w:val="000000"/>
          <w:sz w:val="24"/>
          <w:szCs w:val="20"/>
          <w:highlight w:val="none"/>
          <w:lang w:val="en-US" w:eastAsia="zh-CN"/>
        </w:rPr>
        <w:t>11</w:t>
      </w:r>
      <w:r>
        <w:rPr>
          <w:rFonts w:hint="eastAsia"/>
          <w:color w:val="000000"/>
          <w:sz w:val="24"/>
          <w:szCs w:val="20"/>
          <w:highlight w:val="none"/>
        </w:rPr>
        <w:t>项目实施方案</w:t>
      </w:r>
      <w:r>
        <w:rPr>
          <w:rFonts w:hint="eastAsia"/>
          <w:color w:val="000000"/>
          <w:sz w:val="24"/>
          <w:szCs w:val="20"/>
          <w:highlight w:val="none"/>
          <w:lang w:val="en-US" w:eastAsia="zh-CN"/>
        </w:rPr>
        <w:t xml:space="preserve">  </w:t>
      </w:r>
    </w:p>
    <w:p>
      <w:pPr>
        <w:snapToGrid w:val="0"/>
        <w:spacing w:line="560" w:lineRule="exact"/>
        <w:ind w:firstLine="480" w:firstLineChars="200"/>
        <w:rPr>
          <w:rFonts w:hint="default" w:eastAsia="宋体"/>
          <w:color w:val="000000"/>
          <w:sz w:val="24"/>
          <w:szCs w:val="20"/>
          <w:highlight w:val="none"/>
          <w:lang w:val="en-US" w:eastAsia="zh-CN"/>
        </w:rPr>
      </w:pPr>
      <w:r>
        <w:rPr>
          <w:rFonts w:hint="eastAsia"/>
          <w:color w:val="000000"/>
          <w:sz w:val="24"/>
          <w:szCs w:val="20"/>
          <w:highlight w:val="none"/>
          <w:lang w:val="en-US" w:eastAsia="zh-CN"/>
        </w:rPr>
        <w:t>格式自拟。</w:t>
      </w: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日期：_____年______月______日</w:t>
      </w: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rPr>
          <w:color w:val="000000"/>
          <w:sz w:val="24"/>
          <w:szCs w:val="20"/>
          <w:highlight w:val="none"/>
        </w:rPr>
      </w:pPr>
      <w:r>
        <w:rPr>
          <w:color w:val="000000"/>
          <w:sz w:val="24"/>
          <w:szCs w:val="20"/>
          <w:highlight w:val="none"/>
        </w:rPr>
        <w:br w:type="page"/>
      </w:r>
    </w:p>
    <w:p>
      <w:pPr>
        <w:spacing w:line="360" w:lineRule="auto"/>
        <w:outlineLvl w:val="2"/>
        <w:rPr>
          <w:color w:val="000000"/>
          <w:sz w:val="24"/>
          <w:szCs w:val="20"/>
          <w:highlight w:val="none"/>
        </w:rPr>
      </w:pPr>
    </w:p>
    <w:p>
      <w:pPr>
        <w:rPr>
          <w:color w:val="000000"/>
          <w:sz w:val="24"/>
          <w:szCs w:val="20"/>
          <w:highlight w:val="none"/>
        </w:rPr>
      </w:pPr>
      <w:r>
        <w:rPr>
          <w:rFonts w:hint="eastAsia"/>
          <w:color w:val="000000"/>
          <w:sz w:val="24"/>
          <w:szCs w:val="20"/>
          <w:highlight w:val="none"/>
        </w:rPr>
        <w:t>1</w:t>
      </w:r>
      <w:r>
        <w:rPr>
          <w:rFonts w:hint="eastAsia"/>
          <w:color w:val="000000"/>
          <w:sz w:val="24"/>
          <w:szCs w:val="20"/>
          <w:highlight w:val="none"/>
          <w:lang w:val="en-US" w:eastAsia="zh-CN"/>
        </w:rPr>
        <w:t>2</w:t>
      </w:r>
      <w:r>
        <w:rPr>
          <w:rFonts w:hint="eastAsia"/>
          <w:color w:val="000000"/>
          <w:sz w:val="24"/>
          <w:szCs w:val="20"/>
          <w:highlight w:val="none"/>
        </w:rPr>
        <w:t>参加本项目人员一览表</w:t>
      </w:r>
    </w:p>
    <w:p>
      <w:pPr>
        <w:spacing w:line="360" w:lineRule="auto"/>
        <w:jc w:val="center"/>
        <w:rPr>
          <w:rFonts w:ascii="宋体" w:hAnsi="宋体"/>
          <w:b/>
          <w:sz w:val="32"/>
          <w:szCs w:val="32"/>
          <w:highlight w:val="none"/>
        </w:rPr>
      </w:pPr>
    </w:p>
    <w:p>
      <w:pPr>
        <w:spacing w:line="360" w:lineRule="auto"/>
        <w:jc w:val="center"/>
        <w:rPr>
          <w:rFonts w:ascii="宋体" w:hAnsi="宋体"/>
          <w:b/>
          <w:sz w:val="32"/>
          <w:szCs w:val="32"/>
          <w:highlight w:val="none"/>
        </w:rPr>
      </w:pPr>
      <w:r>
        <w:rPr>
          <w:rFonts w:hint="eastAsia" w:ascii="宋体" w:hAnsi="宋体"/>
          <w:b/>
          <w:sz w:val="32"/>
          <w:szCs w:val="32"/>
          <w:highlight w:val="none"/>
        </w:rPr>
        <w:t>参加本项目人员一览表</w:t>
      </w:r>
    </w:p>
    <w:p>
      <w:pPr>
        <w:snapToGrid w:val="0"/>
        <w:spacing w:line="360" w:lineRule="auto"/>
        <w:rPr>
          <w:rFonts w:ascii="宋体" w:hAnsi="宋体"/>
          <w:sz w:val="22"/>
          <w:highlight w:val="none"/>
        </w:rPr>
      </w:pPr>
    </w:p>
    <w:p>
      <w:pPr>
        <w:snapToGrid w:val="0"/>
        <w:spacing w:line="360" w:lineRule="auto"/>
        <w:rPr>
          <w:rFonts w:ascii="宋体" w:hAnsi="宋体" w:cs="宋体"/>
          <w:sz w:val="24"/>
          <w:highlight w:val="none"/>
        </w:rPr>
      </w:pPr>
      <w:r>
        <w:rPr>
          <w:rFonts w:hint="eastAsia" w:ascii="宋体" w:hAnsi="宋体" w:cs="宋体"/>
          <w:sz w:val="24"/>
          <w:highlight w:val="none"/>
        </w:rPr>
        <w:t>项目编号：</w:t>
      </w:r>
    </w:p>
    <w:tbl>
      <w:tblPr>
        <w:tblStyle w:val="51"/>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责任</w:t>
            </w:r>
          </w:p>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或分工</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项目经历或主要工作</w:t>
            </w:r>
          </w:p>
          <w:p>
            <w:pPr>
              <w:tabs>
                <w:tab w:val="left" w:pos="9765"/>
              </w:tabs>
              <w:snapToGrid w:val="0"/>
              <w:spacing w:line="360" w:lineRule="auto"/>
              <w:jc w:val="center"/>
              <w:rPr>
                <w:rFonts w:ascii="宋体" w:hAnsi="宋体" w:cs="宋体"/>
                <w:sz w:val="24"/>
                <w:highlight w:val="none"/>
              </w:rPr>
            </w:pPr>
            <w:r>
              <w:rPr>
                <w:rFonts w:hint="eastAsia" w:ascii="宋体" w:hAnsi="宋体" w:cs="宋体"/>
                <w:sz w:val="24"/>
                <w:highlight w:val="none"/>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highlight w:val="none"/>
              </w:rPr>
            </w:pPr>
          </w:p>
        </w:tc>
      </w:tr>
    </w:tbl>
    <w:p>
      <w:pPr>
        <w:tabs>
          <w:tab w:val="left" w:pos="9765"/>
        </w:tabs>
        <w:autoSpaceDE w:val="0"/>
        <w:autoSpaceDN w:val="0"/>
        <w:adjustRightInd w:val="0"/>
        <w:snapToGrid w:val="0"/>
        <w:rPr>
          <w:rFonts w:ascii="宋体" w:hAnsi="宋体" w:cs="宋体"/>
          <w:b/>
          <w:sz w:val="24"/>
          <w:highlight w:val="none"/>
          <w:lang w:val="zh-CN"/>
        </w:rPr>
      </w:pPr>
    </w:p>
    <w:p>
      <w:pPr>
        <w:tabs>
          <w:tab w:val="left" w:pos="9765"/>
        </w:tabs>
        <w:autoSpaceDE w:val="0"/>
        <w:autoSpaceDN w:val="0"/>
        <w:adjustRightInd w:val="0"/>
        <w:snapToGrid w:val="0"/>
        <w:spacing w:line="360" w:lineRule="auto"/>
        <w:rPr>
          <w:rFonts w:ascii="宋体" w:hAnsi="宋体" w:cs="宋体"/>
          <w:b/>
          <w:sz w:val="24"/>
          <w:highlight w:val="none"/>
        </w:rPr>
      </w:pPr>
      <w:r>
        <w:rPr>
          <w:rFonts w:hint="eastAsia" w:ascii="宋体" w:hAnsi="宋体" w:cs="宋体"/>
          <w:b/>
          <w:sz w:val="24"/>
          <w:highlight w:val="none"/>
          <w:lang w:val="zh-CN"/>
        </w:rPr>
        <w:t>注：参加本项目人员须是供应商正式职工。</w:t>
      </w:r>
    </w:p>
    <w:p>
      <w:pPr>
        <w:snapToGrid w:val="0"/>
        <w:spacing w:line="360" w:lineRule="auto"/>
        <w:rPr>
          <w:rFonts w:ascii="宋体" w:hAnsi="宋体"/>
          <w:sz w:val="24"/>
          <w:highlight w:val="none"/>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日期：_____年______月______日</w:t>
      </w:r>
    </w:p>
    <w:p>
      <w:pPr>
        <w:rPr>
          <w:kern w:val="0"/>
          <w:sz w:val="22"/>
          <w:highlight w:val="none"/>
        </w:rPr>
      </w:pPr>
      <w:r>
        <w:rPr>
          <w:kern w:val="0"/>
          <w:sz w:val="22"/>
          <w:highlight w:val="none"/>
        </w:rPr>
        <w:br w:type="page"/>
      </w:r>
      <w:bookmarkStart w:id="859" w:name="_Toc288738839"/>
      <w:bookmarkStart w:id="860" w:name="_Toc288738397"/>
    </w:p>
    <w:p>
      <w:pPr>
        <w:rPr>
          <w:color w:val="000000"/>
          <w:sz w:val="24"/>
          <w:szCs w:val="20"/>
          <w:highlight w:val="none"/>
        </w:rPr>
      </w:pPr>
      <w:r>
        <w:rPr>
          <w:rFonts w:hint="eastAsia"/>
          <w:color w:val="000000"/>
          <w:sz w:val="24"/>
          <w:szCs w:val="20"/>
          <w:highlight w:val="none"/>
          <w:lang w:val="en-US" w:eastAsia="zh-CN"/>
        </w:rPr>
        <w:t>13</w:t>
      </w:r>
      <w:r>
        <w:rPr>
          <w:rFonts w:hint="eastAsia"/>
          <w:color w:val="000000"/>
          <w:sz w:val="24"/>
          <w:szCs w:val="20"/>
          <w:highlight w:val="none"/>
        </w:rPr>
        <w:t>相关业绩案例一览表</w:t>
      </w:r>
    </w:p>
    <w:p>
      <w:pPr>
        <w:rPr>
          <w:color w:val="000000"/>
          <w:sz w:val="24"/>
          <w:szCs w:val="20"/>
          <w:highlight w:val="none"/>
        </w:rPr>
      </w:pPr>
    </w:p>
    <w:p>
      <w:pPr>
        <w:jc w:val="center"/>
        <w:rPr>
          <w:rFonts w:ascii="宋体" w:hAnsi="宋体"/>
          <w:b/>
          <w:sz w:val="32"/>
          <w:szCs w:val="32"/>
          <w:highlight w:val="none"/>
        </w:rPr>
      </w:pPr>
      <w:r>
        <w:rPr>
          <w:rFonts w:hint="eastAsia" w:ascii="宋体" w:hAnsi="宋体"/>
          <w:b/>
          <w:sz w:val="32"/>
          <w:szCs w:val="32"/>
          <w:highlight w:val="none"/>
        </w:rPr>
        <w:t>相关业绩案例一览表</w:t>
      </w:r>
      <w:bookmarkEnd w:id="859"/>
      <w:bookmarkEnd w:id="860"/>
    </w:p>
    <w:p>
      <w:pPr>
        <w:snapToGrid w:val="0"/>
        <w:spacing w:line="360" w:lineRule="auto"/>
        <w:jc w:val="center"/>
        <w:rPr>
          <w:rFonts w:ascii="宋体" w:hAnsi="宋体"/>
          <w:b/>
          <w:sz w:val="28"/>
          <w:szCs w:val="30"/>
          <w:highlight w:val="none"/>
        </w:rPr>
      </w:pP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项目编号：</w:t>
      </w:r>
    </w:p>
    <w:tbl>
      <w:tblPr>
        <w:tblStyle w:val="51"/>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lang w:val="zh-CN"/>
              </w:rPr>
            </w:pPr>
            <w:r>
              <w:rPr>
                <w:rFonts w:hint="eastAsia" w:ascii="宋体" w:hAnsi="宋体" w:cs="宋体"/>
                <w:sz w:val="24"/>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lang w:val="zh-CN"/>
              </w:rPr>
            </w:pPr>
            <w:r>
              <w:rPr>
                <w:rFonts w:hint="eastAsia" w:ascii="宋体" w:hAnsi="宋体" w:cs="宋体"/>
                <w:sz w:val="24"/>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lang w:val="zh-CN"/>
              </w:rPr>
            </w:pPr>
            <w:r>
              <w:rPr>
                <w:rFonts w:hint="eastAsia" w:ascii="宋体" w:hAnsi="宋体" w:cs="宋体"/>
                <w:sz w:val="24"/>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lang w:val="zh-CN"/>
              </w:rPr>
            </w:pPr>
            <w:r>
              <w:rPr>
                <w:rFonts w:hint="eastAsia" w:ascii="宋体" w:hAnsi="宋体" w:cs="宋体"/>
                <w:sz w:val="24"/>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lang w:val="zh-CN"/>
              </w:rPr>
            </w:pPr>
            <w:r>
              <w:rPr>
                <w:rFonts w:hint="eastAsia" w:ascii="宋体" w:hAnsi="宋体" w:cs="宋体"/>
                <w:sz w:val="24"/>
                <w:highlight w:val="none"/>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lang w:val="zh-CN"/>
              </w:rPr>
            </w:pPr>
            <w:r>
              <w:rPr>
                <w:rFonts w:hint="eastAsia" w:ascii="宋体" w:hAnsi="宋体" w:cs="宋体"/>
                <w:sz w:val="24"/>
                <w:highlight w:val="none"/>
                <w:lang w:val="zh-CN"/>
              </w:rPr>
              <w:t>联系电话</w:t>
            </w: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highlight w:val="none"/>
              </w:rPr>
            </w:pPr>
          </w:p>
        </w:tc>
      </w:tr>
    </w:tbl>
    <w:p>
      <w:pPr>
        <w:tabs>
          <w:tab w:val="left" w:pos="9765"/>
        </w:tabs>
        <w:autoSpaceDE w:val="0"/>
        <w:autoSpaceDN w:val="0"/>
        <w:adjustRightInd w:val="0"/>
        <w:snapToGrid w:val="0"/>
        <w:rPr>
          <w:rFonts w:ascii="宋体" w:hAnsi="宋体" w:cs="宋体"/>
          <w:sz w:val="24"/>
          <w:highlight w:val="none"/>
          <w:lang w:val="zh-CN"/>
        </w:rPr>
      </w:pPr>
    </w:p>
    <w:p>
      <w:pPr>
        <w:snapToGrid w:val="0"/>
        <w:spacing w:line="360" w:lineRule="auto"/>
        <w:rPr>
          <w:rFonts w:ascii="宋体" w:hAnsi="宋体" w:cs="宋体"/>
          <w:sz w:val="24"/>
          <w:highlight w:val="none"/>
        </w:rPr>
      </w:pP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日期：_____年______月______日</w:t>
      </w: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color w:val="000000"/>
          <w:sz w:val="24"/>
          <w:szCs w:val="20"/>
          <w:highlight w:val="none"/>
        </w:rPr>
      </w:pPr>
    </w:p>
    <w:p>
      <w:pPr>
        <w:spacing w:line="360" w:lineRule="auto"/>
        <w:outlineLvl w:val="2"/>
        <w:rPr>
          <w:sz w:val="24"/>
          <w:highlight w:val="none"/>
        </w:rPr>
      </w:pPr>
      <w:r>
        <w:rPr>
          <w:color w:val="000000"/>
          <w:sz w:val="24"/>
          <w:szCs w:val="20"/>
          <w:highlight w:val="none"/>
        </w:rPr>
        <w:br w:type="page"/>
      </w:r>
      <w:r>
        <w:rPr>
          <w:color w:val="000000"/>
          <w:sz w:val="24"/>
          <w:szCs w:val="20"/>
          <w:highlight w:val="none"/>
        </w:rPr>
        <w:t>1</w:t>
      </w:r>
      <w:r>
        <w:rPr>
          <w:rFonts w:hint="eastAsia"/>
          <w:color w:val="000000"/>
          <w:sz w:val="24"/>
          <w:szCs w:val="20"/>
          <w:highlight w:val="none"/>
          <w:lang w:val="en-US" w:eastAsia="zh-CN"/>
        </w:rPr>
        <w:t>5</w:t>
      </w:r>
      <w:r>
        <w:rPr>
          <w:color w:val="000000"/>
          <w:sz w:val="24"/>
          <w:szCs w:val="20"/>
          <w:highlight w:val="none"/>
        </w:rPr>
        <w:t>磋商文件要求提供或供应商认为应附的其他材料</w:t>
      </w:r>
    </w:p>
    <w:p>
      <w:pPr>
        <w:rPr>
          <w:b/>
          <w:sz w:val="36"/>
          <w:szCs w:val="36"/>
          <w:highlight w:val="none"/>
        </w:rPr>
      </w:pPr>
    </w:p>
    <w:p>
      <w:pPr>
        <w:rPr>
          <w:color w:val="000000"/>
          <w:sz w:val="24"/>
          <w:highlight w:val="none"/>
          <w:lang w:val="zh-CN"/>
        </w:rPr>
      </w:pPr>
    </w:p>
    <w:p>
      <w:pPr>
        <w:widowControl/>
        <w:jc w:val="left"/>
        <w:rPr>
          <w:b/>
          <w:sz w:val="36"/>
          <w:szCs w:val="36"/>
          <w:highlight w:val="none"/>
        </w:rPr>
      </w:pPr>
    </w:p>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ˎ̥">
    <w:altName w:val="方正全福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ヒラギノ角ゴ Pro W3">
    <w:altName w:val="MS Gothic"/>
    <w:panose1 w:val="00000000000000000000"/>
    <w:charset w:val="00"/>
    <w:family w:val="auto"/>
    <w:pitch w:val="default"/>
    <w:sig w:usb0="00000000" w:usb1="00000000" w:usb2="00000012" w:usb3="00000000" w:csb0="0002000D"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 SC Regular">
    <w:altName w:val="Segoe Print"/>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ngLiU_HKSCS">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end"/>
    </w:r>
  </w:p>
  <w:p>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right" w:pos="8307"/>
        <w:tab w:val="clear" w:pos="8306"/>
      </w:tabs>
      <w:ind w:right="360" w:firstLine="360"/>
      <w:jc w:val="center"/>
      <w:rPr>
        <w:rFonts w:ascii="仿宋_GB2312" w:hAnsi="宋体"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12065" b="0"/>
              <wp:wrapNone/>
              <wp:docPr id="23" name="文本框 2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pPr>
                            <w:pStyle w:val="3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2coDPRAAAAAwEAAA8AAAAAAAAAAQAgAAAAIgAAAGRycy9kb3ducmV2Lnht&#10;bFBLAQIUABQAAAAIAIdO4kBC5AYrOQIAAGMEAAAOAAAAAAAAAAEAIAAAACABAABkcnMvZTJvRG9j&#10;LnhtbFBLBQYAAAAABgAGAFkBAADL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2"/>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ascii="楷体" w:hAnsi="楷体" w:eastAsia="楷体"/>
      </w:rPr>
      <w:t>江苏春为全过程工程咨询有限公司</w:t>
    </w:r>
    <w:r>
      <w:rPr>
        <w:rFonts w:ascii="仿宋" w:hAnsi="仿宋" w:eastAsia="仿宋"/>
      </w:rPr>
      <w:drawing>
        <wp:inline distT="0" distB="0" distL="0" distR="0">
          <wp:extent cx="191135" cy="177165"/>
          <wp:effectExtent l="0" t="0" r="0" b="0"/>
          <wp:docPr id="1" name="图片 1" descr="春为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春为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1135" cy="17716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ascii="楷体" w:hAnsi="楷体" w:eastAsia="楷体"/>
      </w:rPr>
      <w:t>江苏春为全过程工程咨询有限公司</w:t>
    </w:r>
    <w:r>
      <w:rPr>
        <w:rFonts w:ascii="仿宋" w:hAnsi="仿宋" w:eastAsia="仿宋"/>
      </w:rPr>
      <w:drawing>
        <wp:inline distT="0" distB="0" distL="0" distR="0">
          <wp:extent cx="191135" cy="172720"/>
          <wp:effectExtent l="0" t="0" r="0" b="0"/>
          <wp:docPr id="2" name="图片 1" descr="春为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春为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1135" cy="1727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A42B0"/>
    <w:multiLevelType w:val="singleLevel"/>
    <w:tmpl w:val="ABAA42B0"/>
    <w:lvl w:ilvl="0" w:tentative="0">
      <w:start w:val="4"/>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3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2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3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7AF6BFE"/>
    <w:multiLevelType w:val="multilevel"/>
    <w:tmpl w:val="07AF6BFE"/>
    <w:lvl w:ilvl="0" w:tentative="0">
      <w:start w:val="1"/>
      <w:numFmt w:val="bullet"/>
      <w:pStyle w:val="491"/>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0">
    <w:nsid w:val="0E230849"/>
    <w:multiLevelType w:val="multilevel"/>
    <w:tmpl w:val="0E230849"/>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B31126E"/>
    <w:multiLevelType w:val="multilevel"/>
    <w:tmpl w:val="3B31126E"/>
    <w:lvl w:ilvl="0" w:tentative="0">
      <w:start w:val="1"/>
      <w:numFmt w:val="japaneseCounting"/>
      <w:pStyle w:val="471"/>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41C1BD8"/>
    <w:multiLevelType w:val="multilevel"/>
    <w:tmpl w:val="441C1BD8"/>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AF31D51"/>
    <w:multiLevelType w:val="multilevel"/>
    <w:tmpl w:val="4AF31D51"/>
    <w:lvl w:ilvl="0" w:tentative="0">
      <w:start w:val="1"/>
      <w:numFmt w:val="bullet"/>
      <w:pStyle w:val="320"/>
      <w:lvlText w:val=""/>
      <w:lvlJc w:val="left"/>
      <w:pPr>
        <w:tabs>
          <w:tab w:val="left" w:pos="987"/>
        </w:tabs>
        <w:ind w:left="987" w:hanging="420"/>
      </w:pPr>
      <w:rPr>
        <w:rFonts w:hint="default" w:ascii="Wingdings" w:hAnsi="Wingdings"/>
      </w:rPr>
    </w:lvl>
    <w:lvl w:ilvl="1" w:tentative="0">
      <w:start w:val="1"/>
      <w:numFmt w:val="bullet"/>
      <w:pStyle w:val="449"/>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5">
    <w:nsid w:val="5DE15341"/>
    <w:multiLevelType w:val="multilevel"/>
    <w:tmpl w:val="5DE15341"/>
    <w:lvl w:ilvl="0" w:tentative="0">
      <w:start w:val="3"/>
      <w:numFmt w:val="decimal"/>
      <w:lvlText w:val="%1"/>
      <w:lvlJc w:val="left"/>
      <w:pPr>
        <w:ind w:left="360" w:hanging="360"/>
      </w:pPr>
      <w:rPr>
        <w:rFonts w:hint="default"/>
      </w:rPr>
    </w:lvl>
    <w:lvl w:ilvl="1" w:tentative="0">
      <w:start w:val="2"/>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4"/>
  </w:num>
  <w:num w:numId="9">
    <w:abstractNumId w:val="12"/>
  </w:num>
  <w:num w:numId="10">
    <w:abstractNumId w:val="9"/>
  </w:num>
  <w:num w:numId="11">
    <w:abstractNumId w:val="7"/>
  </w:num>
  <w:num w:numId="12">
    <w:abstractNumId w:val="1"/>
  </w:num>
  <w:num w:numId="13">
    <w:abstractNumId w:val="13"/>
  </w:num>
  <w:num w:numId="14">
    <w:abstractNumId w:val="11"/>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mRmMjI0MjU0OGVhYWZiYjAwZjkxMzZjNDRmMGJiNz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454"/>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B23"/>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CA1"/>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3C"/>
    <w:rsid w:val="000375F9"/>
    <w:rsid w:val="0003778C"/>
    <w:rsid w:val="00037AF2"/>
    <w:rsid w:val="00040091"/>
    <w:rsid w:val="0004025E"/>
    <w:rsid w:val="000403CA"/>
    <w:rsid w:val="0004042F"/>
    <w:rsid w:val="0004060C"/>
    <w:rsid w:val="00040B56"/>
    <w:rsid w:val="00040D2C"/>
    <w:rsid w:val="00040D38"/>
    <w:rsid w:val="00040D45"/>
    <w:rsid w:val="00040D67"/>
    <w:rsid w:val="00041026"/>
    <w:rsid w:val="00041129"/>
    <w:rsid w:val="00041135"/>
    <w:rsid w:val="00041142"/>
    <w:rsid w:val="00041243"/>
    <w:rsid w:val="0004148E"/>
    <w:rsid w:val="000415CF"/>
    <w:rsid w:val="00041993"/>
    <w:rsid w:val="00041A0A"/>
    <w:rsid w:val="00041BE6"/>
    <w:rsid w:val="00041C8A"/>
    <w:rsid w:val="00041CAD"/>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D0B"/>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AA"/>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C14"/>
    <w:rsid w:val="00084FE2"/>
    <w:rsid w:val="00085002"/>
    <w:rsid w:val="0008516D"/>
    <w:rsid w:val="000851B1"/>
    <w:rsid w:val="00085227"/>
    <w:rsid w:val="000852B5"/>
    <w:rsid w:val="00085AE9"/>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7F"/>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6A"/>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12"/>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A"/>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54"/>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142"/>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02C"/>
    <w:rsid w:val="000D7460"/>
    <w:rsid w:val="000D7971"/>
    <w:rsid w:val="000D79DB"/>
    <w:rsid w:val="000D7D7F"/>
    <w:rsid w:val="000D7D9A"/>
    <w:rsid w:val="000D7E35"/>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0E9"/>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33"/>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8E3"/>
    <w:rsid w:val="000F6CE4"/>
    <w:rsid w:val="000F6DDD"/>
    <w:rsid w:val="000F72E1"/>
    <w:rsid w:val="000F72FF"/>
    <w:rsid w:val="000F736E"/>
    <w:rsid w:val="000F738E"/>
    <w:rsid w:val="000F74AB"/>
    <w:rsid w:val="000F74D5"/>
    <w:rsid w:val="000F7671"/>
    <w:rsid w:val="000F775A"/>
    <w:rsid w:val="000F7C70"/>
    <w:rsid w:val="000F7E2B"/>
    <w:rsid w:val="00100373"/>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87"/>
    <w:rsid w:val="00104EA1"/>
    <w:rsid w:val="001051DA"/>
    <w:rsid w:val="00105422"/>
    <w:rsid w:val="00105502"/>
    <w:rsid w:val="00106284"/>
    <w:rsid w:val="0010635B"/>
    <w:rsid w:val="00106636"/>
    <w:rsid w:val="00106A5A"/>
    <w:rsid w:val="00106D64"/>
    <w:rsid w:val="00106E02"/>
    <w:rsid w:val="00107187"/>
    <w:rsid w:val="001073A4"/>
    <w:rsid w:val="0010780D"/>
    <w:rsid w:val="00107823"/>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A8"/>
    <w:rsid w:val="00111AB0"/>
    <w:rsid w:val="00111B72"/>
    <w:rsid w:val="00111BB5"/>
    <w:rsid w:val="00111BE9"/>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848"/>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6BC"/>
    <w:rsid w:val="001278ED"/>
    <w:rsid w:val="00127B9E"/>
    <w:rsid w:val="00127CA5"/>
    <w:rsid w:val="00127D7F"/>
    <w:rsid w:val="00127EBF"/>
    <w:rsid w:val="00127FC5"/>
    <w:rsid w:val="001300E2"/>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608"/>
    <w:rsid w:val="00136933"/>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C14"/>
    <w:rsid w:val="00143E6D"/>
    <w:rsid w:val="00144073"/>
    <w:rsid w:val="00144744"/>
    <w:rsid w:val="00144904"/>
    <w:rsid w:val="00144DFB"/>
    <w:rsid w:val="001450E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868"/>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836"/>
    <w:rsid w:val="00156D28"/>
    <w:rsid w:val="00156D64"/>
    <w:rsid w:val="00156EF9"/>
    <w:rsid w:val="001570D9"/>
    <w:rsid w:val="00157375"/>
    <w:rsid w:val="00157500"/>
    <w:rsid w:val="00157721"/>
    <w:rsid w:val="00157952"/>
    <w:rsid w:val="00157A47"/>
    <w:rsid w:val="00157A4A"/>
    <w:rsid w:val="001602B3"/>
    <w:rsid w:val="0016040C"/>
    <w:rsid w:val="0016050D"/>
    <w:rsid w:val="0016079C"/>
    <w:rsid w:val="0016086E"/>
    <w:rsid w:val="001609D0"/>
    <w:rsid w:val="00160A0C"/>
    <w:rsid w:val="00160C89"/>
    <w:rsid w:val="0016104C"/>
    <w:rsid w:val="0016143E"/>
    <w:rsid w:val="00161555"/>
    <w:rsid w:val="00161574"/>
    <w:rsid w:val="001615D3"/>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0A"/>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63"/>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60"/>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4DD1"/>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6DF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0D"/>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62"/>
    <w:rsid w:val="001A7985"/>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A2"/>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1D1"/>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0D4"/>
    <w:rsid w:val="001C326E"/>
    <w:rsid w:val="001C3307"/>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7E3"/>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03D"/>
    <w:rsid w:val="001D52B8"/>
    <w:rsid w:val="001D5355"/>
    <w:rsid w:val="001D5513"/>
    <w:rsid w:val="001D55D6"/>
    <w:rsid w:val="001D5797"/>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C12"/>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E65"/>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F7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CD3"/>
    <w:rsid w:val="002021B4"/>
    <w:rsid w:val="00202316"/>
    <w:rsid w:val="002023D4"/>
    <w:rsid w:val="002025B4"/>
    <w:rsid w:val="0020281F"/>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35"/>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DF2"/>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059"/>
    <w:rsid w:val="0022418F"/>
    <w:rsid w:val="0022432D"/>
    <w:rsid w:val="002243F5"/>
    <w:rsid w:val="00224440"/>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86B"/>
    <w:rsid w:val="00225A87"/>
    <w:rsid w:val="00225CC1"/>
    <w:rsid w:val="00225D5A"/>
    <w:rsid w:val="00225D96"/>
    <w:rsid w:val="00225DBE"/>
    <w:rsid w:val="00226149"/>
    <w:rsid w:val="0022619D"/>
    <w:rsid w:val="00226217"/>
    <w:rsid w:val="00226219"/>
    <w:rsid w:val="0022656B"/>
    <w:rsid w:val="00226831"/>
    <w:rsid w:val="00226BA4"/>
    <w:rsid w:val="00226F38"/>
    <w:rsid w:val="00226FD1"/>
    <w:rsid w:val="0022719F"/>
    <w:rsid w:val="0022737E"/>
    <w:rsid w:val="00227679"/>
    <w:rsid w:val="002278C1"/>
    <w:rsid w:val="00227B21"/>
    <w:rsid w:val="00230A63"/>
    <w:rsid w:val="00230AEB"/>
    <w:rsid w:val="00230B42"/>
    <w:rsid w:val="00230CB0"/>
    <w:rsid w:val="00230CFB"/>
    <w:rsid w:val="00230D48"/>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2F06"/>
    <w:rsid w:val="0023302F"/>
    <w:rsid w:val="002332CE"/>
    <w:rsid w:val="00233389"/>
    <w:rsid w:val="002334AF"/>
    <w:rsid w:val="002335F7"/>
    <w:rsid w:val="0023385B"/>
    <w:rsid w:val="002339B5"/>
    <w:rsid w:val="00233BE4"/>
    <w:rsid w:val="00233CFD"/>
    <w:rsid w:val="00233DA6"/>
    <w:rsid w:val="00234295"/>
    <w:rsid w:val="0023448F"/>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33"/>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E79"/>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CCC"/>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EE"/>
    <w:rsid w:val="002604FD"/>
    <w:rsid w:val="002605E4"/>
    <w:rsid w:val="0026084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B3A"/>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6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38"/>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31"/>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57D"/>
    <w:rsid w:val="0029768C"/>
    <w:rsid w:val="0029776F"/>
    <w:rsid w:val="002977B8"/>
    <w:rsid w:val="00297904"/>
    <w:rsid w:val="0029796B"/>
    <w:rsid w:val="00297B6E"/>
    <w:rsid w:val="00297C57"/>
    <w:rsid w:val="00297D32"/>
    <w:rsid w:val="002A00A1"/>
    <w:rsid w:val="002A01EE"/>
    <w:rsid w:val="002A0304"/>
    <w:rsid w:val="002A0456"/>
    <w:rsid w:val="002A0514"/>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E8D"/>
    <w:rsid w:val="002A524C"/>
    <w:rsid w:val="002A5749"/>
    <w:rsid w:val="002A5B18"/>
    <w:rsid w:val="002A5D23"/>
    <w:rsid w:val="002A5D36"/>
    <w:rsid w:val="002A5ECF"/>
    <w:rsid w:val="002A6032"/>
    <w:rsid w:val="002A60AE"/>
    <w:rsid w:val="002A60DF"/>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5BA"/>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D44"/>
    <w:rsid w:val="002C407B"/>
    <w:rsid w:val="002C4310"/>
    <w:rsid w:val="002C43B0"/>
    <w:rsid w:val="002C487E"/>
    <w:rsid w:val="002C4B7F"/>
    <w:rsid w:val="002C4ECA"/>
    <w:rsid w:val="002C5057"/>
    <w:rsid w:val="002C50AE"/>
    <w:rsid w:val="002C5272"/>
    <w:rsid w:val="002C52B0"/>
    <w:rsid w:val="002C52BB"/>
    <w:rsid w:val="002C5322"/>
    <w:rsid w:val="002C53C5"/>
    <w:rsid w:val="002C541F"/>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CC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29"/>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0A"/>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2DB"/>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0D0"/>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CE"/>
    <w:rsid w:val="003240F3"/>
    <w:rsid w:val="003242C9"/>
    <w:rsid w:val="003242D0"/>
    <w:rsid w:val="003242EB"/>
    <w:rsid w:val="0032463B"/>
    <w:rsid w:val="00324682"/>
    <w:rsid w:val="00324978"/>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DE5"/>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A82"/>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9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E13"/>
    <w:rsid w:val="00390019"/>
    <w:rsid w:val="0039043F"/>
    <w:rsid w:val="00390A07"/>
    <w:rsid w:val="00390AB5"/>
    <w:rsid w:val="00390C2B"/>
    <w:rsid w:val="00390E48"/>
    <w:rsid w:val="00390FD1"/>
    <w:rsid w:val="00391086"/>
    <w:rsid w:val="0039118A"/>
    <w:rsid w:val="0039132D"/>
    <w:rsid w:val="00391638"/>
    <w:rsid w:val="00391699"/>
    <w:rsid w:val="003917E3"/>
    <w:rsid w:val="00391C6F"/>
    <w:rsid w:val="00391CA6"/>
    <w:rsid w:val="0039213A"/>
    <w:rsid w:val="003921D2"/>
    <w:rsid w:val="003922AD"/>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9F2"/>
    <w:rsid w:val="00395B6B"/>
    <w:rsid w:val="00395C2B"/>
    <w:rsid w:val="00395CAE"/>
    <w:rsid w:val="00395E4B"/>
    <w:rsid w:val="00395FF5"/>
    <w:rsid w:val="00396080"/>
    <w:rsid w:val="0039612B"/>
    <w:rsid w:val="0039619B"/>
    <w:rsid w:val="0039650A"/>
    <w:rsid w:val="0039653A"/>
    <w:rsid w:val="00396ADA"/>
    <w:rsid w:val="00396EB5"/>
    <w:rsid w:val="003970A7"/>
    <w:rsid w:val="0039735D"/>
    <w:rsid w:val="00397502"/>
    <w:rsid w:val="00397515"/>
    <w:rsid w:val="00397608"/>
    <w:rsid w:val="00397999"/>
    <w:rsid w:val="00397BFE"/>
    <w:rsid w:val="003A00FB"/>
    <w:rsid w:val="003A03C1"/>
    <w:rsid w:val="003A03DD"/>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4E6"/>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017"/>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24"/>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AA"/>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0B"/>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4C"/>
    <w:rsid w:val="003F10D9"/>
    <w:rsid w:val="003F122D"/>
    <w:rsid w:val="003F14D8"/>
    <w:rsid w:val="003F158D"/>
    <w:rsid w:val="003F1718"/>
    <w:rsid w:val="003F2191"/>
    <w:rsid w:val="003F21E4"/>
    <w:rsid w:val="003F28A1"/>
    <w:rsid w:val="003F2D0B"/>
    <w:rsid w:val="003F2E4F"/>
    <w:rsid w:val="003F306A"/>
    <w:rsid w:val="003F3126"/>
    <w:rsid w:val="003F31C1"/>
    <w:rsid w:val="003F3204"/>
    <w:rsid w:val="003F3396"/>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8B"/>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05"/>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184"/>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32"/>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4BC"/>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1F6"/>
    <w:rsid w:val="004376DC"/>
    <w:rsid w:val="0043770F"/>
    <w:rsid w:val="0043793E"/>
    <w:rsid w:val="00437A34"/>
    <w:rsid w:val="00437AB3"/>
    <w:rsid w:val="00437ABC"/>
    <w:rsid w:val="00437CDD"/>
    <w:rsid w:val="00437D0E"/>
    <w:rsid w:val="00437E2E"/>
    <w:rsid w:val="00437F44"/>
    <w:rsid w:val="00440015"/>
    <w:rsid w:val="004406C1"/>
    <w:rsid w:val="004408D1"/>
    <w:rsid w:val="00440DD7"/>
    <w:rsid w:val="00440DED"/>
    <w:rsid w:val="00440EC0"/>
    <w:rsid w:val="00440F5D"/>
    <w:rsid w:val="00441030"/>
    <w:rsid w:val="0044131F"/>
    <w:rsid w:val="00441405"/>
    <w:rsid w:val="00441490"/>
    <w:rsid w:val="00441AAC"/>
    <w:rsid w:val="00441B3D"/>
    <w:rsid w:val="00441BFB"/>
    <w:rsid w:val="0044219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7E2"/>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E5A"/>
    <w:rsid w:val="004473B1"/>
    <w:rsid w:val="00447D56"/>
    <w:rsid w:val="00447E53"/>
    <w:rsid w:val="00447EB6"/>
    <w:rsid w:val="00447F16"/>
    <w:rsid w:val="00447F68"/>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DB9"/>
    <w:rsid w:val="00452F19"/>
    <w:rsid w:val="00453050"/>
    <w:rsid w:val="00453126"/>
    <w:rsid w:val="004531F7"/>
    <w:rsid w:val="00453259"/>
    <w:rsid w:val="00453E11"/>
    <w:rsid w:val="00453E33"/>
    <w:rsid w:val="00454231"/>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D6C"/>
    <w:rsid w:val="004660F6"/>
    <w:rsid w:val="00466269"/>
    <w:rsid w:val="004664F0"/>
    <w:rsid w:val="00466608"/>
    <w:rsid w:val="0046667A"/>
    <w:rsid w:val="00466735"/>
    <w:rsid w:val="0046698F"/>
    <w:rsid w:val="00466A43"/>
    <w:rsid w:val="00466FCB"/>
    <w:rsid w:val="004671AE"/>
    <w:rsid w:val="004672B1"/>
    <w:rsid w:val="004672EF"/>
    <w:rsid w:val="0046732E"/>
    <w:rsid w:val="004677BA"/>
    <w:rsid w:val="00467A55"/>
    <w:rsid w:val="00467B4A"/>
    <w:rsid w:val="00467B78"/>
    <w:rsid w:val="00467D61"/>
    <w:rsid w:val="00467F23"/>
    <w:rsid w:val="00467F80"/>
    <w:rsid w:val="004702C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CE5"/>
    <w:rsid w:val="00473DDD"/>
    <w:rsid w:val="00473E75"/>
    <w:rsid w:val="00473F03"/>
    <w:rsid w:val="00473F20"/>
    <w:rsid w:val="00473F99"/>
    <w:rsid w:val="00474059"/>
    <w:rsid w:val="00474153"/>
    <w:rsid w:val="00474173"/>
    <w:rsid w:val="004741B0"/>
    <w:rsid w:val="004741ED"/>
    <w:rsid w:val="00474263"/>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1D4"/>
    <w:rsid w:val="00476338"/>
    <w:rsid w:val="0047647F"/>
    <w:rsid w:val="00476816"/>
    <w:rsid w:val="00476822"/>
    <w:rsid w:val="004768A1"/>
    <w:rsid w:val="004769D3"/>
    <w:rsid w:val="004769D5"/>
    <w:rsid w:val="00476D40"/>
    <w:rsid w:val="00477938"/>
    <w:rsid w:val="00477B54"/>
    <w:rsid w:val="00477B57"/>
    <w:rsid w:val="00477E2B"/>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2E7"/>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A5"/>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3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1CD"/>
    <w:rsid w:val="004A039F"/>
    <w:rsid w:val="004A053C"/>
    <w:rsid w:val="004A06C1"/>
    <w:rsid w:val="004A0B5A"/>
    <w:rsid w:val="004A0B66"/>
    <w:rsid w:val="004A0FC8"/>
    <w:rsid w:val="004A1240"/>
    <w:rsid w:val="004A1346"/>
    <w:rsid w:val="004A156A"/>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DD0"/>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7"/>
    <w:rsid w:val="004A6B3D"/>
    <w:rsid w:val="004A725E"/>
    <w:rsid w:val="004A76F6"/>
    <w:rsid w:val="004A786A"/>
    <w:rsid w:val="004A78F8"/>
    <w:rsid w:val="004A7E24"/>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D5B"/>
    <w:rsid w:val="004C100B"/>
    <w:rsid w:val="004C11AB"/>
    <w:rsid w:val="004C11B0"/>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5A"/>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66F"/>
    <w:rsid w:val="004D2859"/>
    <w:rsid w:val="004D2A5F"/>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07"/>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07F"/>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225"/>
    <w:rsid w:val="004E6330"/>
    <w:rsid w:val="004E6347"/>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DE2"/>
    <w:rsid w:val="004F0E5A"/>
    <w:rsid w:val="004F0F71"/>
    <w:rsid w:val="004F0FD2"/>
    <w:rsid w:val="004F104B"/>
    <w:rsid w:val="004F1073"/>
    <w:rsid w:val="004F128F"/>
    <w:rsid w:val="004F1420"/>
    <w:rsid w:val="004F15DE"/>
    <w:rsid w:val="004F1A6A"/>
    <w:rsid w:val="004F1DDB"/>
    <w:rsid w:val="004F1F4D"/>
    <w:rsid w:val="004F2217"/>
    <w:rsid w:val="004F22E1"/>
    <w:rsid w:val="004F235C"/>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5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4F3"/>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A6"/>
    <w:rsid w:val="005139BE"/>
    <w:rsid w:val="00513B7A"/>
    <w:rsid w:val="00513CC8"/>
    <w:rsid w:val="00514436"/>
    <w:rsid w:val="005145E2"/>
    <w:rsid w:val="00514A01"/>
    <w:rsid w:val="00514B4F"/>
    <w:rsid w:val="005151AE"/>
    <w:rsid w:val="00515238"/>
    <w:rsid w:val="0051557F"/>
    <w:rsid w:val="005156C8"/>
    <w:rsid w:val="00515A8D"/>
    <w:rsid w:val="00515B19"/>
    <w:rsid w:val="00515DEB"/>
    <w:rsid w:val="00515E1A"/>
    <w:rsid w:val="005161C1"/>
    <w:rsid w:val="005167F0"/>
    <w:rsid w:val="0051687D"/>
    <w:rsid w:val="005169B6"/>
    <w:rsid w:val="00516B04"/>
    <w:rsid w:val="00516B21"/>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386"/>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0F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CF"/>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3"/>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6D4"/>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EF6"/>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BA1"/>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1E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24A"/>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C26"/>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9CA"/>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7A"/>
    <w:rsid w:val="005A7D06"/>
    <w:rsid w:val="005A7E7E"/>
    <w:rsid w:val="005A7F16"/>
    <w:rsid w:val="005B0002"/>
    <w:rsid w:val="005B007D"/>
    <w:rsid w:val="005B00E7"/>
    <w:rsid w:val="005B01DC"/>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33"/>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1A6"/>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E35"/>
    <w:rsid w:val="005C7F60"/>
    <w:rsid w:val="005D0079"/>
    <w:rsid w:val="005D02EF"/>
    <w:rsid w:val="005D032D"/>
    <w:rsid w:val="005D0456"/>
    <w:rsid w:val="005D04B0"/>
    <w:rsid w:val="005D0859"/>
    <w:rsid w:val="005D088A"/>
    <w:rsid w:val="005D0980"/>
    <w:rsid w:val="005D10FC"/>
    <w:rsid w:val="005D14A2"/>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38E"/>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1E4"/>
    <w:rsid w:val="005F035F"/>
    <w:rsid w:val="005F0396"/>
    <w:rsid w:val="005F03BF"/>
    <w:rsid w:val="005F048D"/>
    <w:rsid w:val="005F049F"/>
    <w:rsid w:val="005F0553"/>
    <w:rsid w:val="005F0580"/>
    <w:rsid w:val="005F079A"/>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AE6"/>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05"/>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A7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4AE"/>
    <w:rsid w:val="0062051B"/>
    <w:rsid w:val="006206D0"/>
    <w:rsid w:val="006207AE"/>
    <w:rsid w:val="00620976"/>
    <w:rsid w:val="00620AAA"/>
    <w:rsid w:val="00620D10"/>
    <w:rsid w:val="00620E82"/>
    <w:rsid w:val="00620EC4"/>
    <w:rsid w:val="0062105C"/>
    <w:rsid w:val="00621170"/>
    <w:rsid w:val="00621521"/>
    <w:rsid w:val="00621625"/>
    <w:rsid w:val="0062174B"/>
    <w:rsid w:val="006217B5"/>
    <w:rsid w:val="00621899"/>
    <w:rsid w:val="006219B0"/>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2FA"/>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6BE"/>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78"/>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19"/>
    <w:rsid w:val="0064478B"/>
    <w:rsid w:val="006448CC"/>
    <w:rsid w:val="00644CBB"/>
    <w:rsid w:val="00644D6E"/>
    <w:rsid w:val="00644EBD"/>
    <w:rsid w:val="00645218"/>
    <w:rsid w:val="0064573F"/>
    <w:rsid w:val="00645890"/>
    <w:rsid w:val="00645AE4"/>
    <w:rsid w:val="006463DB"/>
    <w:rsid w:val="006464DA"/>
    <w:rsid w:val="006465F8"/>
    <w:rsid w:val="0064695D"/>
    <w:rsid w:val="00646A70"/>
    <w:rsid w:val="00646C62"/>
    <w:rsid w:val="00646C66"/>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8C0"/>
    <w:rsid w:val="00650A9A"/>
    <w:rsid w:val="00650D13"/>
    <w:rsid w:val="00650D42"/>
    <w:rsid w:val="00650F31"/>
    <w:rsid w:val="00650F5C"/>
    <w:rsid w:val="00651076"/>
    <w:rsid w:val="00651223"/>
    <w:rsid w:val="0065133D"/>
    <w:rsid w:val="00651373"/>
    <w:rsid w:val="00651490"/>
    <w:rsid w:val="006514DB"/>
    <w:rsid w:val="00651918"/>
    <w:rsid w:val="0065194E"/>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1D3"/>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3B"/>
    <w:rsid w:val="006659C6"/>
    <w:rsid w:val="00665A65"/>
    <w:rsid w:val="00665B53"/>
    <w:rsid w:val="00665C03"/>
    <w:rsid w:val="00665C67"/>
    <w:rsid w:val="00665EC5"/>
    <w:rsid w:val="00665F1B"/>
    <w:rsid w:val="00666097"/>
    <w:rsid w:val="00666355"/>
    <w:rsid w:val="00666528"/>
    <w:rsid w:val="0066659E"/>
    <w:rsid w:val="006666D6"/>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1ED"/>
    <w:rsid w:val="00681216"/>
    <w:rsid w:val="006812F1"/>
    <w:rsid w:val="00681476"/>
    <w:rsid w:val="006814A7"/>
    <w:rsid w:val="006814B2"/>
    <w:rsid w:val="0068161A"/>
    <w:rsid w:val="00681630"/>
    <w:rsid w:val="006819FC"/>
    <w:rsid w:val="00681C86"/>
    <w:rsid w:val="00681E57"/>
    <w:rsid w:val="0068228A"/>
    <w:rsid w:val="0068237F"/>
    <w:rsid w:val="0068240B"/>
    <w:rsid w:val="006825C1"/>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77"/>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1FBE"/>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67C"/>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CC"/>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1D"/>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FF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BFD"/>
    <w:rsid w:val="006F2DB7"/>
    <w:rsid w:val="006F2EB4"/>
    <w:rsid w:val="006F3826"/>
    <w:rsid w:val="006F38DB"/>
    <w:rsid w:val="006F3AAE"/>
    <w:rsid w:val="006F3B84"/>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D1C"/>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53"/>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8E"/>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D0"/>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269"/>
    <w:rsid w:val="007163B9"/>
    <w:rsid w:val="007163C0"/>
    <w:rsid w:val="007165AC"/>
    <w:rsid w:val="00716709"/>
    <w:rsid w:val="00716724"/>
    <w:rsid w:val="00716A0C"/>
    <w:rsid w:val="00716A79"/>
    <w:rsid w:val="00716F81"/>
    <w:rsid w:val="007173E4"/>
    <w:rsid w:val="00717492"/>
    <w:rsid w:val="00717662"/>
    <w:rsid w:val="00717B54"/>
    <w:rsid w:val="00717C56"/>
    <w:rsid w:val="00717FD4"/>
    <w:rsid w:val="00717FF7"/>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40"/>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2B3"/>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385"/>
    <w:rsid w:val="007554A0"/>
    <w:rsid w:val="007555D0"/>
    <w:rsid w:val="00755712"/>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43"/>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3B"/>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10"/>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15"/>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1D"/>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FAC"/>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C8E"/>
    <w:rsid w:val="00796E3D"/>
    <w:rsid w:val="007972B8"/>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57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E9"/>
    <w:rsid w:val="007D1532"/>
    <w:rsid w:val="007D18E0"/>
    <w:rsid w:val="007D1947"/>
    <w:rsid w:val="007D1A2C"/>
    <w:rsid w:val="007D1E0D"/>
    <w:rsid w:val="007D2029"/>
    <w:rsid w:val="007D209A"/>
    <w:rsid w:val="007D240B"/>
    <w:rsid w:val="007D2442"/>
    <w:rsid w:val="007D293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4C"/>
    <w:rsid w:val="007D6076"/>
    <w:rsid w:val="007D61CD"/>
    <w:rsid w:val="007D67D4"/>
    <w:rsid w:val="007D67D5"/>
    <w:rsid w:val="007D6891"/>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3F2"/>
    <w:rsid w:val="007E35AB"/>
    <w:rsid w:val="007E3767"/>
    <w:rsid w:val="007E3D0C"/>
    <w:rsid w:val="007E3FD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BFE"/>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85"/>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2B8"/>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05C"/>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A7"/>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313"/>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601"/>
    <w:rsid w:val="00856753"/>
    <w:rsid w:val="008568E5"/>
    <w:rsid w:val="00856A89"/>
    <w:rsid w:val="00856DD0"/>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426"/>
    <w:rsid w:val="008645B9"/>
    <w:rsid w:val="00864762"/>
    <w:rsid w:val="008647B1"/>
    <w:rsid w:val="00864C3E"/>
    <w:rsid w:val="00864D1E"/>
    <w:rsid w:val="00864E70"/>
    <w:rsid w:val="00865414"/>
    <w:rsid w:val="00865B0D"/>
    <w:rsid w:val="00865DF5"/>
    <w:rsid w:val="00865F05"/>
    <w:rsid w:val="00865F0C"/>
    <w:rsid w:val="0086614B"/>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925"/>
    <w:rsid w:val="00880D8B"/>
    <w:rsid w:val="0088111C"/>
    <w:rsid w:val="00881261"/>
    <w:rsid w:val="00881275"/>
    <w:rsid w:val="008814B9"/>
    <w:rsid w:val="00881536"/>
    <w:rsid w:val="00881C0F"/>
    <w:rsid w:val="00881F98"/>
    <w:rsid w:val="00882329"/>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B36"/>
    <w:rsid w:val="00886C65"/>
    <w:rsid w:val="00886EFB"/>
    <w:rsid w:val="00886F3E"/>
    <w:rsid w:val="00886F5F"/>
    <w:rsid w:val="00886F8F"/>
    <w:rsid w:val="00887092"/>
    <w:rsid w:val="008871A1"/>
    <w:rsid w:val="0088749F"/>
    <w:rsid w:val="0088755B"/>
    <w:rsid w:val="00887563"/>
    <w:rsid w:val="00887725"/>
    <w:rsid w:val="00887849"/>
    <w:rsid w:val="008878C7"/>
    <w:rsid w:val="00887A22"/>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46"/>
    <w:rsid w:val="008955B1"/>
    <w:rsid w:val="00895B87"/>
    <w:rsid w:val="00895BD8"/>
    <w:rsid w:val="00895F0D"/>
    <w:rsid w:val="00896127"/>
    <w:rsid w:val="00896206"/>
    <w:rsid w:val="008968C2"/>
    <w:rsid w:val="00896964"/>
    <w:rsid w:val="00896BFE"/>
    <w:rsid w:val="00896C9E"/>
    <w:rsid w:val="00896D12"/>
    <w:rsid w:val="008972B0"/>
    <w:rsid w:val="0089762D"/>
    <w:rsid w:val="008978F0"/>
    <w:rsid w:val="008979A2"/>
    <w:rsid w:val="00897CD7"/>
    <w:rsid w:val="00897F2E"/>
    <w:rsid w:val="008A0463"/>
    <w:rsid w:val="008A069D"/>
    <w:rsid w:val="008A0767"/>
    <w:rsid w:val="008A0B3C"/>
    <w:rsid w:val="008A0F40"/>
    <w:rsid w:val="008A198E"/>
    <w:rsid w:val="008A1BAB"/>
    <w:rsid w:val="008A1CC1"/>
    <w:rsid w:val="008A1E23"/>
    <w:rsid w:val="008A236B"/>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9EA"/>
    <w:rsid w:val="008B1A78"/>
    <w:rsid w:val="008B1A8E"/>
    <w:rsid w:val="008B1EDA"/>
    <w:rsid w:val="008B1EE7"/>
    <w:rsid w:val="008B2119"/>
    <w:rsid w:val="008B2132"/>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1B8"/>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4"/>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10"/>
    <w:rsid w:val="008C3F40"/>
    <w:rsid w:val="008C3F63"/>
    <w:rsid w:val="008C3FB4"/>
    <w:rsid w:val="008C448F"/>
    <w:rsid w:val="008C48F3"/>
    <w:rsid w:val="008C4953"/>
    <w:rsid w:val="008C4AD1"/>
    <w:rsid w:val="008C4B33"/>
    <w:rsid w:val="008C4C4E"/>
    <w:rsid w:val="008C4D3C"/>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34F"/>
    <w:rsid w:val="008D242A"/>
    <w:rsid w:val="008D2845"/>
    <w:rsid w:val="008D28BA"/>
    <w:rsid w:val="008D2A8B"/>
    <w:rsid w:val="008D2CC8"/>
    <w:rsid w:val="008D2E4C"/>
    <w:rsid w:val="008D2F10"/>
    <w:rsid w:val="008D33F2"/>
    <w:rsid w:val="008D3421"/>
    <w:rsid w:val="008D365B"/>
    <w:rsid w:val="008D373D"/>
    <w:rsid w:val="008D3761"/>
    <w:rsid w:val="008D37EB"/>
    <w:rsid w:val="008D3907"/>
    <w:rsid w:val="008D3E2A"/>
    <w:rsid w:val="008D4060"/>
    <w:rsid w:val="008D407B"/>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4B"/>
    <w:rsid w:val="008F0FEA"/>
    <w:rsid w:val="008F115D"/>
    <w:rsid w:val="008F13B1"/>
    <w:rsid w:val="008F13F7"/>
    <w:rsid w:val="008F1714"/>
    <w:rsid w:val="008F179C"/>
    <w:rsid w:val="008F1957"/>
    <w:rsid w:val="008F19F6"/>
    <w:rsid w:val="008F1D28"/>
    <w:rsid w:val="008F1E4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25E"/>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2CA"/>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296"/>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16"/>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58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216"/>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95"/>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664"/>
    <w:rsid w:val="009328E3"/>
    <w:rsid w:val="00932B27"/>
    <w:rsid w:val="00932B6D"/>
    <w:rsid w:val="00932D38"/>
    <w:rsid w:val="00932D76"/>
    <w:rsid w:val="00932EB3"/>
    <w:rsid w:val="00932F41"/>
    <w:rsid w:val="00932FAD"/>
    <w:rsid w:val="00933004"/>
    <w:rsid w:val="00933215"/>
    <w:rsid w:val="0093326E"/>
    <w:rsid w:val="009335E9"/>
    <w:rsid w:val="009336BB"/>
    <w:rsid w:val="0093377F"/>
    <w:rsid w:val="00933B9E"/>
    <w:rsid w:val="00933C22"/>
    <w:rsid w:val="00933E42"/>
    <w:rsid w:val="00933FFF"/>
    <w:rsid w:val="0093407C"/>
    <w:rsid w:val="0093422D"/>
    <w:rsid w:val="00934323"/>
    <w:rsid w:val="00934905"/>
    <w:rsid w:val="00934AA2"/>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5DB"/>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4F1E"/>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42B"/>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821"/>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E0"/>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207"/>
    <w:rsid w:val="009836AB"/>
    <w:rsid w:val="009836F3"/>
    <w:rsid w:val="009839ED"/>
    <w:rsid w:val="00983DF4"/>
    <w:rsid w:val="009840B2"/>
    <w:rsid w:val="009841EB"/>
    <w:rsid w:val="0098446D"/>
    <w:rsid w:val="009846CB"/>
    <w:rsid w:val="00984798"/>
    <w:rsid w:val="00984A0C"/>
    <w:rsid w:val="00984B72"/>
    <w:rsid w:val="00984D78"/>
    <w:rsid w:val="00984DB4"/>
    <w:rsid w:val="0098566D"/>
    <w:rsid w:val="00985747"/>
    <w:rsid w:val="00985935"/>
    <w:rsid w:val="009859F8"/>
    <w:rsid w:val="00985CDA"/>
    <w:rsid w:val="0098619C"/>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87E"/>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0DE"/>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D52"/>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1EE"/>
    <w:rsid w:val="009B33F8"/>
    <w:rsid w:val="009B3411"/>
    <w:rsid w:val="009B3565"/>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51"/>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2D8"/>
    <w:rsid w:val="009E4A6A"/>
    <w:rsid w:val="009E505E"/>
    <w:rsid w:val="009E51F0"/>
    <w:rsid w:val="009E53B0"/>
    <w:rsid w:val="009E5427"/>
    <w:rsid w:val="009E55B5"/>
    <w:rsid w:val="009E5615"/>
    <w:rsid w:val="009E568E"/>
    <w:rsid w:val="009E56FE"/>
    <w:rsid w:val="009E5C37"/>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218"/>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73"/>
    <w:rsid w:val="009F44B2"/>
    <w:rsid w:val="009F494F"/>
    <w:rsid w:val="009F4A1C"/>
    <w:rsid w:val="009F4ED4"/>
    <w:rsid w:val="009F4F96"/>
    <w:rsid w:val="009F503C"/>
    <w:rsid w:val="009F50B1"/>
    <w:rsid w:val="009F5125"/>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D7E"/>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EAE"/>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65"/>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1E"/>
    <w:rsid w:val="00A53D3C"/>
    <w:rsid w:val="00A54038"/>
    <w:rsid w:val="00A54414"/>
    <w:rsid w:val="00A5443B"/>
    <w:rsid w:val="00A545D5"/>
    <w:rsid w:val="00A5465A"/>
    <w:rsid w:val="00A546C5"/>
    <w:rsid w:val="00A54B2F"/>
    <w:rsid w:val="00A54C74"/>
    <w:rsid w:val="00A54D26"/>
    <w:rsid w:val="00A54D4F"/>
    <w:rsid w:val="00A54E86"/>
    <w:rsid w:val="00A551E5"/>
    <w:rsid w:val="00A55260"/>
    <w:rsid w:val="00A555C5"/>
    <w:rsid w:val="00A55B14"/>
    <w:rsid w:val="00A55DD1"/>
    <w:rsid w:val="00A55F56"/>
    <w:rsid w:val="00A55FEF"/>
    <w:rsid w:val="00A55FF0"/>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707"/>
    <w:rsid w:val="00A6590E"/>
    <w:rsid w:val="00A65CCC"/>
    <w:rsid w:val="00A660E4"/>
    <w:rsid w:val="00A66596"/>
    <w:rsid w:val="00A666C2"/>
    <w:rsid w:val="00A666FC"/>
    <w:rsid w:val="00A66B88"/>
    <w:rsid w:val="00A66CB2"/>
    <w:rsid w:val="00A66DDD"/>
    <w:rsid w:val="00A67120"/>
    <w:rsid w:val="00A67215"/>
    <w:rsid w:val="00A6739E"/>
    <w:rsid w:val="00A676A8"/>
    <w:rsid w:val="00A67883"/>
    <w:rsid w:val="00A67886"/>
    <w:rsid w:val="00A678A4"/>
    <w:rsid w:val="00A6790D"/>
    <w:rsid w:val="00A67C35"/>
    <w:rsid w:val="00A70081"/>
    <w:rsid w:val="00A70367"/>
    <w:rsid w:val="00A7040A"/>
    <w:rsid w:val="00A704FC"/>
    <w:rsid w:val="00A70505"/>
    <w:rsid w:val="00A70812"/>
    <w:rsid w:val="00A7096A"/>
    <w:rsid w:val="00A709A7"/>
    <w:rsid w:val="00A709FA"/>
    <w:rsid w:val="00A70CD7"/>
    <w:rsid w:val="00A7109D"/>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342"/>
    <w:rsid w:val="00A744AA"/>
    <w:rsid w:val="00A7452B"/>
    <w:rsid w:val="00A74567"/>
    <w:rsid w:val="00A746CD"/>
    <w:rsid w:val="00A746E1"/>
    <w:rsid w:val="00A74747"/>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6F"/>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7F2"/>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08"/>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0"/>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1F3"/>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7E6"/>
    <w:rsid w:val="00AC182D"/>
    <w:rsid w:val="00AC1871"/>
    <w:rsid w:val="00AC18CE"/>
    <w:rsid w:val="00AC1B93"/>
    <w:rsid w:val="00AC20E6"/>
    <w:rsid w:val="00AC20F2"/>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DD1"/>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C7FE1"/>
    <w:rsid w:val="00AD0099"/>
    <w:rsid w:val="00AD0135"/>
    <w:rsid w:val="00AD06E3"/>
    <w:rsid w:val="00AD0AF2"/>
    <w:rsid w:val="00AD0D6E"/>
    <w:rsid w:val="00AD0F8B"/>
    <w:rsid w:val="00AD1124"/>
    <w:rsid w:val="00AD1174"/>
    <w:rsid w:val="00AD1466"/>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77"/>
    <w:rsid w:val="00AD47EF"/>
    <w:rsid w:val="00AD4824"/>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416"/>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38"/>
    <w:rsid w:val="00AF23C9"/>
    <w:rsid w:val="00AF2572"/>
    <w:rsid w:val="00AF276D"/>
    <w:rsid w:val="00AF284F"/>
    <w:rsid w:val="00AF2F3C"/>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5EE8"/>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BC5"/>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17E"/>
    <w:rsid w:val="00B162EC"/>
    <w:rsid w:val="00B164F7"/>
    <w:rsid w:val="00B1659A"/>
    <w:rsid w:val="00B16620"/>
    <w:rsid w:val="00B167B4"/>
    <w:rsid w:val="00B16888"/>
    <w:rsid w:val="00B169BE"/>
    <w:rsid w:val="00B16B67"/>
    <w:rsid w:val="00B16CF9"/>
    <w:rsid w:val="00B16F3F"/>
    <w:rsid w:val="00B170A1"/>
    <w:rsid w:val="00B170CF"/>
    <w:rsid w:val="00B17110"/>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0B3"/>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879"/>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B6"/>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2C2E"/>
    <w:rsid w:val="00B4319D"/>
    <w:rsid w:val="00B43FC1"/>
    <w:rsid w:val="00B4430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12"/>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6"/>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1E0"/>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DD9"/>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56"/>
    <w:rsid w:val="00B705FC"/>
    <w:rsid w:val="00B70771"/>
    <w:rsid w:val="00B709B3"/>
    <w:rsid w:val="00B70CC8"/>
    <w:rsid w:val="00B71188"/>
    <w:rsid w:val="00B71267"/>
    <w:rsid w:val="00B714AC"/>
    <w:rsid w:val="00B7153E"/>
    <w:rsid w:val="00B71608"/>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DA"/>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9B"/>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592"/>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6DE8"/>
    <w:rsid w:val="00BA7008"/>
    <w:rsid w:val="00BA7068"/>
    <w:rsid w:val="00BA71B4"/>
    <w:rsid w:val="00BA7218"/>
    <w:rsid w:val="00BA72BD"/>
    <w:rsid w:val="00BA73E5"/>
    <w:rsid w:val="00BA73F4"/>
    <w:rsid w:val="00BA757D"/>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67C"/>
    <w:rsid w:val="00BB581B"/>
    <w:rsid w:val="00BB5830"/>
    <w:rsid w:val="00BB583A"/>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77D"/>
    <w:rsid w:val="00BC3A24"/>
    <w:rsid w:val="00BC3A29"/>
    <w:rsid w:val="00BC3A4D"/>
    <w:rsid w:val="00BC3A90"/>
    <w:rsid w:val="00BC3B85"/>
    <w:rsid w:val="00BC3B88"/>
    <w:rsid w:val="00BC3C25"/>
    <w:rsid w:val="00BC3E8D"/>
    <w:rsid w:val="00BC41B4"/>
    <w:rsid w:val="00BC44C8"/>
    <w:rsid w:val="00BC452B"/>
    <w:rsid w:val="00BC47FA"/>
    <w:rsid w:val="00BC48C2"/>
    <w:rsid w:val="00BC4EA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1A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2A"/>
    <w:rsid w:val="00BD2C5F"/>
    <w:rsid w:val="00BD2D13"/>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5F1"/>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2C"/>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77"/>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AE0"/>
    <w:rsid w:val="00BF2D63"/>
    <w:rsid w:val="00BF31FB"/>
    <w:rsid w:val="00BF33AD"/>
    <w:rsid w:val="00BF344D"/>
    <w:rsid w:val="00BF34E7"/>
    <w:rsid w:val="00BF3777"/>
    <w:rsid w:val="00BF3914"/>
    <w:rsid w:val="00BF3A01"/>
    <w:rsid w:val="00BF3BF6"/>
    <w:rsid w:val="00BF3E4D"/>
    <w:rsid w:val="00BF3EC6"/>
    <w:rsid w:val="00BF4033"/>
    <w:rsid w:val="00BF48F4"/>
    <w:rsid w:val="00BF497A"/>
    <w:rsid w:val="00BF4B98"/>
    <w:rsid w:val="00BF4C53"/>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EA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2BD"/>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A0F"/>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77"/>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717"/>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843"/>
    <w:rsid w:val="00C12A56"/>
    <w:rsid w:val="00C12BF3"/>
    <w:rsid w:val="00C12C47"/>
    <w:rsid w:val="00C12C7C"/>
    <w:rsid w:val="00C12DE2"/>
    <w:rsid w:val="00C12E59"/>
    <w:rsid w:val="00C12E7E"/>
    <w:rsid w:val="00C12E82"/>
    <w:rsid w:val="00C12FEB"/>
    <w:rsid w:val="00C13236"/>
    <w:rsid w:val="00C13402"/>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59"/>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256"/>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CFB"/>
    <w:rsid w:val="00C32D32"/>
    <w:rsid w:val="00C32D73"/>
    <w:rsid w:val="00C32E4D"/>
    <w:rsid w:val="00C32EBE"/>
    <w:rsid w:val="00C330BF"/>
    <w:rsid w:val="00C330E2"/>
    <w:rsid w:val="00C33C65"/>
    <w:rsid w:val="00C33CAC"/>
    <w:rsid w:val="00C33D2E"/>
    <w:rsid w:val="00C33E6F"/>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9C6"/>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4D"/>
    <w:rsid w:val="00C43ADE"/>
    <w:rsid w:val="00C445BE"/>
    <w:rsid w:val="00C44609"/>
    <w:rsid w:val="00C44C6E"/>
    <w:rsid w:val="00C45349"/>
    <w:rsid w:val="00C45685"/>
    <w:rsid w:val="00C45914"/>
    <w:rsid w:val="00C459BA"/>
    <w:rsid w:val="00C45A3D"/>
    <w:rsid w:val="00C45A88"/>
    <w:rsid w:val="00C45B9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148"/>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979"/>
    <w:rsid w:val="00C63D71"/>
    <w:rsid w:val="00C63DEE"/>
    <w:rsid w:val="00C63EE7"/>
    <w:rsid w:val="00C63F9C"/>
    <w:rsid w:val="00C64232"/>
    <w:rsid w:val="00C6452E"/>
    <w:rsid w:val="00C645FE"/>
    <w:rsid w:val="00C64994"/>
    <w:rsid w:val="00C64E9E"/>
    <w:rsid w:val="00C64F9C"/>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BBD"/>
    <w:rsid w:val="00C75CE8"/>
    <w:rsid w:val="00C7614A"/>
    <w:rsid w:val="00C761D5"/>
    <w:rsid w:val="00C764D9"/>
    <w:rsid w:val="00C76646"/>
    <w:rsid w:val="00C766D5"/>
    <w:rsid w:val="00C766E7"/>
    <w:rsid w:val="00C7671C"/>
    <w:rsid w:val="00C76F18"/>
    <w:rsid w:val="00C77034"/>
    <w:rsid w:val="00C7764B"/>
    <w:rsid w:val="00C7765D"/>
    <w:rsid w:val="00C77763"/>
    <w:rsid w:val="00C77AA1"/>
    <w:rsid w:val="00C77CA0"/>
    <w:rsid w:val="00C77EAA"/>
    <w:rsid w:val="00C803E7"/>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A8B"/>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5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EEC"/>
    <w:rsid w:val="00CB3051"/>
    <w:rsid w:val="00CB328E"/>
    <w:rsid w:val="00CB3678"/>
    <w:rsid w:val="00CB367E"/>
    <w:rsid w:val="00CB36FF"/>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D8F"/>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F6"/>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DCF"/>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BF7"/>
    <w:rsid w:val="00CC3CF5"/>
    <w:rsid w:val="00CC4179"/>
    <w:rsid w:val="00CC429D"/>
    <w:rsid w:val="00CC439B"/>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CCE"/>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1DC"/>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7A1"/>
    <w:rsid w:val="00D00C21"/>
    <w:rsid w:val="00D00FD7"/>
    <w:rsid w:val="00D010A1"/>
    <w:rsid w:val="00D012CB"/>
    <w:rsid w:val="00D0137F"/>
    <w:rsid w:val="00D01726"/>
    <w:rsid w:val="00D01B3A"/>
    <w:rsid w:val="00D01BB0"/>
    <w:rsid w:val="00D01BC3"/>
    <w:rsid w:val="00D0236A"/>
    <w:rsid w:val="00D02470"/>
    <w:rsid w:val="00D0249C"/>
    <w:rsid w:val="00D024E0"/>
    <w:rsid w:val="00D0252E"/>
    <w:rsid w:val="00D026AB"/>
    <w:rsid w:val="00D027E7"/>
    <w:rsid w:val="00D02865"/>
    <w:rsid w:val="00D02BD1"/>
    <w:rsid w:val="00D02C48"/>
    <w:rsid w:val="00D02E63"/>
    <w:rsid w:val="00D02E8D"/>
    <w:rsid w:val="00D02FBF"/>
    <w:rsid w:val="00D03384"/>
    <w:rsid w:val="00D03457"/>
    <w:rsid w:val="00D036AA"/>
    <w:rsid w:val="00D037CD"/>
    <w:rsid w:val="00D03C34"/>
    <w:rsid w:val="00D03E4B"/>
    <w:rsid w:val="00D03F84"/>
    <w:rsid w:val="00D044A7"/>
    <w:rsid w:val="00D04958"/>
    <w:rsid w:val="00D04C5A"/>
    <w:rsid w:val="00D04CF2"/>
    <w:rsid w:val="00D04D28"/>
    <w:rsid w:val="00D04E55"/>
    <w:rsid w:val="00D04EA9"/>
    <w:rsid w:val="00D050DA"/>
    <w:rsid w:val="00D054F5"/>
    <w:rsid w:val="00D05A93"/>
    <w:rsid w:val="00D05C42"/>
    <w:rsid w:val="00D05C71"/>
    <w:rsid w:val="00D05CC7"/>
    <w:rsid w:val="00D05EB6"/>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EC"/>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CC8"/>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34"/>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5D"/>
    <w:rsid w:val="00D3130C"/>
    <w:rsid w:val="00D3136C"/>
    <w:rsid w:val="00D3153D"/>
    <w:rsid w:val="00D316E5"/>
    <w:rsid w:val="00D31783"/>
    <w:rsid w:val="00D31A9A"/>
    <w:rsid w:val="00D31B26"/>
    <w:rsid w:val="00D31BE0"/>
    <w:rsid w:val="00D32202"/>
    <w:rsid w:val="00D323F7"/>
    <w:rsid w:val="00D32609"/>
    <w:rsid w:val="00D326E7"/>
    <w:rsid w:val="00D328D7"/>
    <w:rsid w:val="00D3316C"/>
    <w:rsid w:val="00D332B5"/>
    <w:rsid w:val="00D33541"/>
    <w:rsid w:val="00D33841"/>
    <w:rsid w:val="00D33994"/>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01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CF8"/>
    <w:rsid w:val="00D42FC8"/>
    <w:rsid w:val="00D4307C"/>
    <w:rsid w:val="00D4327C"/>
    <w:rsid w:val="00D4342E"/>
    <w:rsid w:val="00D4355D"/>
    <w:rsid w:val="00D436D6"/>
    <w:rsid w:val="00D43839"/>
    <w:rsid w:val="00D43BF1"/>
    <w:rsid w:val="00D43E54"/>
    <w:rsid w:val="00D44042"/>
    <w:rsid w:val="00D4422A"/>
    <w:rsid w:val="00D442EF"/>
    <w:rsid w:val="00D444EA"/>
    <w:rsid w:val="00D4475F"/>
    <w:rsid w:val="00D447CB"/>
    <w:rsid w:val="00D44CD4"/>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DE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AD5"/>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5E"/>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1D"/>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746"/>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54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80"/>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807"/>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4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1"/>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A60"/>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1B7"/>
    <w:rsid w:val="00DF05C8"/>
    <w:rsid w:val="00DF0768"/>
    <w:rsid w:val="00DF0C29"/>
    <w:rsid w:val="00DF0C96"/>
    <w:rsid w:val="00DF0FD9"/>
    <w:rsid w:val="00DF15B0"/>
    <w:rsid w:val="00DF1795"/>
    <w:rsid w:val="00DF1A59"/>
    <w:rsid w:val="00DF1A8F"/>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BA"/>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4E8"/>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8B1"/>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11"/>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51"/>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AA"/>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4F4"/>
    <w:rsid w:val="00E476FC"/>
    <w:rsid w:val="00E477EB"/>
    <w:rsid w:val="00E478A5"/>
    <w:rsid w:val="00E47A6C"/>
    <w:rsid w:val="00E47A88"/>
    <w:rsid w:val="00E47C75"/>
    <w:rsid w:val="00E47C90"/>
    <w:rsid w:val="00E47D82"/>
    <w:rsid w:val="00E47FB4"/>
    <w:rsid w:val="00E50193"/>
    <w:rsid w:val="00E501D7"/>
    <w:rsid w:val="00E50376"/>
    <w:rsid w:val="00E50450"/>
    <w:rsid w:val="00E50554"/>
    <w:rsid w:val="00E506A1"/>
    <w:rsid w:val="00E50709"/>
    <w:rsid w:val="00E5076B"/>
    <w:rsid w:val="00E507C5"/>
    <w:rsid w:val="00E507CF"/>
    <w:rsid w:val="00E50BE6"/>
    <w:rsid w:val="00E50CBF"/>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4E"/>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591"/>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2EA"/>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C9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D71"/>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B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58E"/>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A5C"/>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21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75F"/>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06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CE8"/>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25"/>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37"/>
    <w:rsid w:val="00F06199"/>
    <w:rsid w:val="00F063D7"/>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9E"/>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91"/>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4B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5F56"/>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9E1"/>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70"/>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E40"/>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89E"/>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7CC"/>
    <w:rsid w:val="00FA09A0"/>
    <w:rsid w:val="00FA09EC"/>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55"/>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2B1"/>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DB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D34"/>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09"/>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9A"/>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22A"/>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777"/>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589"/>
    <w:rsid w:val="00FF7636"/>
    <w:rsid w:val="00FF765F"/>
    <w:rsid w:val="00FF7989"/>
    <w:rsid w:val="00FF7D03"/>
    <w:rsid w:val="02653596"/>
    <w:rsid w:val="02E10B85"/>
    <w:rsid w:val="03027A99"/>
    <w:rsid w:val="03B10EED"/>
    <w:rsid w:val="04001E75"/>
    <w:rsid w:val="04A942BA"/>
    <w:rsid w:val="078E38F9"/>
    <w:rsid w:val="07DD6F39"/>
    <w:rsid w:val="09442803"/>
    <w:rsid w:val="095A3DD5"/>
    <w:rsid w:val="0AC54C5F"/>
    <w:rsid w:val="0B3463D6"/>
    <w:rsid w:val="0B660C1A"/>
    <w:rsid w:val="0B8A6764"/>
    <w:rsid w:val="0BB05F2E"/>
    <w:rsid w:val="0DA95E77"/>
    <w:rsid w:val="0F6A2898"/>
    <w:rsid w:val="0FA77648"/>
    <w:rsid w:val="107514F4"/>
    <w:rsid w:val="10AB4F16"/>
    <w:rsid w:val="131B45D5"/>
    <w:rsid w:val="131C3923"/>
    <w:rsid w:val="13C33CDA"/>
    <w:rsid w:val="14951E1C"/>
    <w:rsid w:val="14973026"/>
    <w:rsid w:val="167C33DF"/>
    <w:rsid w:val="169C5A2D"/>
    <w:rsid w:val="17A23C55"/>
    <w:rsid w:val="17F93E0B"/>
    <w:rsid w:val="183B3024"/>
    <w:rsid w:val="1B1A668B"/>
    <w:rsid w:val="1B432BEF"/>
    <w:rsid w:val="1B7B3422"/>
    <w:rsid w:val="1BCF41AF"/>
    <w:rsid w:val="1C0C71B1"/>
    <w:rsid w:val="1C303EDE"/>
    <w:rsid w:val="1C455CA5"/>
    <w:rsid w:val="1C7B67E2"/>
    <w:rsid w:val="1CAA0778"/>
    <w:rsid w:val="1D2C69D2"/>
    <w:rsid w:val="1D886D0B"/>
    <w:rsid w:val="1E90231B"/>
    <w:rsid w:val="1F4D0B61"/>
    <w:rsid w:val="1F62533A"/>
    <w:rsid w:val="20486F2E"/>
    <w:rsid w:val="228A2A4A"/>
    <w:rsid w:val="22F664C5"/>
    <w:rsid w:val="23867819"/>
    <w:rsid w:val="239E00B4"/>
    <w:rsid w:val="251E74A4"/>
    <w:rsid w:val="2547125A"/>
    <w:rsid w:val="25B34243"/>
    <w:rsid w:val="25E83247"/>
    <w:rsid w:val="27843CE5"/>
    <w:rsid w:val="28DC26EF"/>
    <w:rsid w:val="29FA44E5"/>
    <w:rsid w:val="2A1D07DB"/>
    <w:rsid w:val="2B674447"/>
    <w:rsid w:val="2B935A45"/>
    <w:rsid w:val="2BFA57BA"/>
    <w:rsid w:val="2CAC308A"/>
    <w:rsid w:val="2DAC25A2"/>
    <w:rsid w:val="2DF147F9"/>
    <w:rsid w:val="2E347F0C"/>
    <w:rsid w:val="2EDB0181"/>
    <w:rsid w:val="2F065775"/>
    <w:rsid w:val="2F0D6935"/>
    <w:rsid w:val="30180C08"/>
    <w:rsid w:val="30E61159"/>
    <w:rsid w:val="30F82ADA"/>
    <w:rsid w:val="325D39E8"/>
    <w:rsid w:val="32BC699D"/>
    <w:rsid w:val="32EB653A"/>
    <w:rsid w:val="342A7A08"/>
    <w:rsid w:val="36B0660A"/>
    <w:rsid w:val="371A238D"/>
    <w:rsid w:val="37FF0C0C"/>
    <w:rsid w:val="38D05ABD"/>
    <w:rsid w:val="391D25A6"/>
    <w:rsid w:val="39B10DD3"/>
    <w:rsid w:val="3A470BB8"/>
    <w:rsid w:val="3A723C63"/>
    <w:rsid w:val="3BCB6780"/>
    <w:rsid w:val="3C985CEA"/>
    <w:rsid w:val="3D143CBF"/>
    <w:rsid w:val="3F2B6A35"/>
    <w:rsid w:val="3F626F64"/>
    <w:rsid w:val="3FF5F3AE"/>
    <w:rsid w:val="41CD756B"/>
    <w:rsid w:val="423B7955"/>
    <w:rsid w:val="42CD0A98"/>
    <w:rsid w:val="431A0C09"/>
    <w:rsid w:val="433B1FA6"/>
    <w:rsid w:val="43792ACE"/>
    <w:rsid w:val="43994F1E"/>
    <w:rsid w:val="43A87B63"/>
    <w:rsid w:val="440A3726"/>
    <w:rsid w:val="47077604"/>
    <w:rsid w:val="474A0503"/>
    <w:rsid w:val="480E2158"/>
    <w:rsid w:val="492902BF"/>
    <w:rsid w:val="4B65373A"/>
    <w:rsid w:val="4B831C8E"/>
    <w:rsid w:val="4D00163A"/>
    <w:rsid w:val="4EA24543"/>
    <w:rsid w:val="4F0F5BE3"/>
    <w:rsid w:val="4F7D56F4"/>
    <w:rsid w:val="4FEB6B02"/>
    <w:rsid w:val="50243DC2"/>
    <w:rsid w:val="50E10D82"/>
    <w:rsid w:val="50EF43D0"/>
    <w:rsid w:val="517D7C2E"/>
    <w:rsid w:val="519B6306"/>
    <w:rsid w:val="52422029"/>
    <w:rsid w:val="54167D00"/>
    <w:rsid w:val="548C2946"/>
    <w:rsid w:val="55040901"/>
    <w:rsid w:val="56567336"/>
    <w:rsid w:val="56DF05DE"/>
    <w:rsid w:val="56F1728C"/>
    <w:rsid w:val="573177D6"/>
    <w:rsid w:val="57FC6189"/>
    <w:rsid w:val="58A957AC"/>
    <w:rsid w:val="58B73A25"/>
    <w:rsid w:val="5A184D0A"/>
    <w:rsid w:val="5A611D91"/>
    <w:rsid w:val="5AB53F83"/>
    <w:rsid w:val="5ABF3065"/>
    <w:rsid w:val="5B277C77"/>
    <w:rsid w:val="5BFA5E11"/>
    <w:rsid w:val="5C7C4EAC"/>
    <w:rsid w:val="5D186A5C"/>
    <w:rsid w:val="5E535716"/>
    <w:rsid w:val="5F073306"/>
    <w:rsid w:val="5F5F73B9"/>
    <w:rsid w:val="602F47E9"/>
    <w:rsid w:val="60661260"/>
    <w:rsid w:val="607E12CC"/>
    <w:rsid w:val="60DF7FBD"/>
    <w:rsid w:val="60F5158E"/>
    <w:rsid w:val="628801E0"/>
    <w:rsid w:val="63665FEE"/>
    <w:rsid w:val="647C3D75"/>
    <w:rsid w:val="64A72BED"/>
    <w:rsid w:val="64B13A1E"/>
    <w:rsid w:val="64F17BAA"/>
    <w:rsid w:val="67263F46"/>
    <w:rsid w:val="6838144E"/>
    <w:rsid w:val="68831103"/>
    <w:rsid w:val="68AA7398"/>
    <w:rsid w:val="6AC54E80"/>
    <w:rsid w:val="6B4E3852"/>
    <w:rsid w:val="6CB25261"/>
    <w:rsid w:val="6D8F4B19"/>
    <w:rsid w:val="6DB91EF9"/>
    <w:rsid w:val="6DF62520"/>
    <w:rsid w:val="6E764427"/>
    <w:rsid w:val="6ED87E38"/>
    <w:rsid w:val="70795D2D"/>
    <w:rsid w:val="70860455"/>
    <w:rsid w:val="70AC59E2"/>
    <w:rsid w:val="719C2BEE"/>
    <w:rsid w:val="74210D9D"/>
    <w:rsid w:val="742C597A"/>
    <w:rsid w:val="74786307"/>
    <w:rsid w:val="761C7166"/>
    <w:rsid w:val="76360227"/>
    <w:rsid w:val="77CE623E"/>
    <w:rsid w:val="780B7492"/>
    <w:rsid w:val="79D06969"/>
    <w:rsid w:val="7A5130D3"/>
    <w:rsid w:val="7A68361F"/>
    <w:rsid w:val="7A92576C"/>
    <w:rsid w:val="7AA33897"/>
    <w:rsid w:val="7CB83597"/>
    <w:rsid w:val="7D6C2781"/>
    <w:rsid w:val="7DC02508"/>
    <w:rsid w:val="7E5E656D"/>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99"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6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7"/>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8"/>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9"/>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0"/>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2"/>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4">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5"/>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adjustRightInd w:val="0"/>
      <w:spacing w:line="312" w:lineRule="atLeast"/>
      <w:ind w:left="1260"/>
      <w:jc w:val="left"/>
      <w:textAlignment w:val="baseline"/>
    </w:pPr>
    <w:rPr>
      <w:kern w:val="0"/>
      <w:sz w:val="18"/>
      <w:szCs w:val="18"/>
    </w:rPr>
  </w:style>
  <w:style w:type="paragraph" w:styleId="13">
    <w:name w:val="List Number 2"/>
    <w:basedOn w:val="1"/>
    <w:autoRedefine/>
    <w:qFormat/>
    <w:uiPriority w:val="0"/>
    <w:pPr>
      <w:widowControl/>
      <w:tabs>
        <w:tab w:val="left" w:pos="820"/>
      </w:tabs>
      <w:spacing w:afterLines="50"/>
      <w:ind w:left="820" w:hanging="420"/>
      <w:jc w:val="left"/>
    </w:pPr>
    <w:rPr>
      <w:kern w:val="0"/>
      <w:sz w:val="24"/>
      <w:szCs w:val="20"/>
    </w:rPr>
  </w:style>
  <w:style w:type="paragraph" w:styleId="14">
    <w:name w:val="List Number"/>
    <w:basedOn w:val="1"/>
    <w:autoRedefine/>
    <w:qFormat/>
    <w:uiPriority w:val="0"/>
    <w:pPr>
      <w:adjustRightInd w:val="0"/>
      <w:spacing w:line="360" w:lineRule="auto"/>
      <w:ind w:left="850" w:hanging="425"/>
      <w:textAlignment w:val="baseline"/>
    </w:pPr>
    <w:rPr>
      <w:color w:val="000000"/>
      <w:kern w:val="0"/>
      <w:szCs w:val="20"/>
    </w:r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Document Map"/>
    <w:basedOn w:val="1"/>
    <w:link w:val="74"/>
    <w:autoRedefine/>
    <w:qFormat/>
    <w:uiPriority w:val="0"/>
    <w:pPr>
      <w:shd w:val="clear" w:color="auto" w:fill="000080"/>
    </w:pPr>
  </w:style>
  <w:style w:type="paragraph" w:styleId="17">
    <w:name w:val="annotation text"/>
    <w:basedOn w:val="1"/>
    <w:link w:val="75"/>
    <w:autoRedefine/>
    <w:qFormat/>
    <w:uiPriority w:val="99"/>
    <w:pPr>
      <w:jc w:val="left"/>
    </w:pPr>
    <w:rPr>
      <w:lang w:val="zh-CN" w:eastAsia="zh-CN"/>
    </w:rPr>
  </w:style>
  <w:style w:type="paragraph" w:styleId="18">
    <w:name w:val="Body Text 3"/>
    <w:basedOn w:val="1"/>
    <w:link w:val="76"/>
    <w:autoRedefine/>
    <w:qFormat/>
    <w:uiPriority w:val="0"/>
    <w:pPr>
      <w:spacing w:after="120"/>
    </w:pPr>
    <w:rPr>
      <w:sz w:val="16"/>
      <w:szCs w:val="16"/>
    </w:rPr>
  </w:style>
  <w:style w:type="paragraph" w:styleId="19">
    <w:name w:val="Body Text"/>
    <w:basedOn w:val="1"/>
    <w:next w:val="1"/>
    <w:link w:val="77"/>
    <w:autoRedefine/>
    <w:qFormat/>
    <w:uiPriority w:val="0"/>
    <w:pPr>
      <w:tabs>
        <w:tab w:val="left" w:pos="567"/>
      </w:tabs>
      <w:spacing w:before="120" w:line="22" w:lineRule="atLeast"/>
    </w:pPr>
    <w:rPr>
      <w:rFonts w:ascii="宋体" w:hAnsi="宋体"/>
      <w:sz w:val="24"/>
    </w:rPr>
  </w:style>
  <w:style w:type="paragraph" w:styleId="20">
    <w:name w:val="Body Text Indent"/>
    <w:basedOn w:val="1"/>
    <w:link w:val="78"/>
    <w:autoRedefine/>
    <w:qFormat/>
    <w:uiPriority w:val="0"/>
    <w:pPr>
      <w:spacing w:line="360" w:lineRule="auto"/>
      <w:ind w:firstLine="570"/>
    </w:pPr>
    <w:rPr>
      <w:sz w:val="24"/>
    </w:rPr>
  </w:style>
  <w:style w:type="paragraph" w:styleId="21">
    <w:name w:val="List Number 3"/>
    <w:basedOn w:val="1"/>
    <w:autoRedefine/>
    <w:qFormat/>
    <w:uiPriority w:val="0"/>
    <w:pPr>
      <w:widowControl/>
      <w:tabs>
        <w:tab w:val="left" w:pos="1050"/>
      </w:tabs>
      <w:spacing w:afterLines="50"/>
      <w:ind w:left="1050" w:hanging="340"/>
      <w:jc w:val="left"/>
    </w:pPr>
    <w:rPr>
      <w:kern w:val="0"/>
      <w:sz w:val="24"/>
      <w:szCs w:val="20"/>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List Bullet 2"/>
    <w:basedOn w:val="1"/>
    <w:autoRedefine/>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toc 5"/>
    <w:basedOn w:val="1"/>
    <w:next w:val="1"/>
    <w:autoRedefine/>
    <w:qFormat/>
    <w:uiPriority w:val="0"/>
    <w:pPr>
      <w:adjustRightInd w:val="0"/>
      <w:spacing w:line="312" w:lineRule="atLeast"/>
      <w:ind w:left="840"/>
      <w:jc w:val="left"/>
      <w:textAlignment w:val="baseline"/>
    </w:pPr>
    <w:rPr>
      <w:kern w:val="0"/>
      <w:sz w:val="18"/>
      <w:szCs w:val="18"/>
    </w:rPr>
  </w:style>
  <w:style w:type="paragraph" w:styleId="26">
    <w:name w:val="toc 3"/>
    <w:basedOn w:val="1"/>
    <w:next w:val="1"/>
    <w:autoRedefine/>
    <w:unhideWhenUsed/>
    <w:qFormat/>
    <w:uiPriority w:val="0"/>
    <w:pPr>
      <w:ind w:left="840" w:leftChars="400"/>
    </w:pPr>
    <w:rPr>
      <w:rFonts w:ascii="Calibri" w:hAnsi="Calibri"/>
      <w:szCs w:val="22"/>
    </w:rPr>
  </w:style>
  <w:style w:type="paragraph" w:styleId="27">
    <w:name w:val="Plain Text"/>
    <w:basedOn w:val="1"/>
    <w:link w:val="81"/>
    <w:autoRedefine/>
    <w:qFormat/>
    <w:uiPriority w:val="0"/>
    <w:rPr>
      <w:rFonts w:hint="eastAsia" w:ascii="宋体" w:hAnsi="Courier New"/>
      <w:szCs w:val="20"/>
    </w:rPr>
  </w:style>
  <w:style w:type="paragraph" w:styleId="28">
    <w:name w:val="toc 8"/>
    <w:basedOn w:val="1"/>
    <w:next w:val="1"/>
    <w:autoRedefine/>
    <w:qFormat/>
    <w:uiPriority w:val="0"/>
    <w:pPr>
      <w:adjustRightInd w:val="0"/>
      <w:spacing w:line="312" w:lineRule="atLeast"/>
      <w:ind w:left="1470"/>
      <w:jc w:val="left"/>
      <w:textAlignment w:val="baseline"/>
    </w:pPr>
    <w:rPr>
      <w:kern w:val="0"/>
      <w:sz w:val="18"/>
      <w:szCs w:val="18"/>
    </w:rPr>
  </w:style>
  <w:style w:type="paragraph" w:styleId="29">
    <w:name w:val="Date"/>
    <w:basedOn w:val="1"/>
    <w:next w:val="1"/>
    <w:link w:val="83"/>
    <w:autoRedefine/>
    <w:qFormat/>
    <w:uiPriority w:val="0"/>
    <w:pPr>
      <w:ind w:left="100" w:leftChars="2500"/>
    </w:pPr>
    <w:rPr>
      <w:rFonts w:ascii="仿宋_GB2312" w:hAnsi="宋体" w:eastAsia="仿宋_GB2312"/>
      <w:color w:val="000000"/>
      <w:sz w:val="24"/>
    </w:rPr>
  </w:style>
  <w:style w:type="paragraph" w:styleId="30">
    <w:name w:val="Body Text Indent 2"/>
    <w:basedOn w:val="1"/>
    <w:link w:val="84"/>
    <w:autoRedefine/>
    <w:qFormat/>
    <w:uiPriority w:val="0"/>
    <w:pPr>
      <w:ind w:firstLine="480" w:firstLineChars="200"/>
    </w:pPr>
    <w:rPr>
      <w:rFonts w:ascii="仿宋_GB2312" w:eastAsia="仿宋_GB2312"/>
      <w:sz w:val="24"/>
    </w:rPr>
  </w:style>
  <w:style w:type="paragraph" w:styleId="31">
    <w:name w:val="Balloon Text"/>
    <w:basedOn w:val="1"/>
    <w:link w:val="85"/>
    <w:autoRedefine/>
    <w:qFormat/>
    <w:uiPriority w:val="99"/>
    <w:rPr>
      <w:sz w:val="18"/>
      <w:szCs w:val="18"/>
    </w:rPr>
  </w:style>
  <w:style w:type="paragraph" w:styleId="32">
    <w:name w:val="footer"/>
    <w:basedOn w:val="1"/>
    <w:link w:val="86"/>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7"/>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Signature"/>
    <w:basedOn w:val="1"/>
    <w:link w:val="339"/>
    <w:autoRedefine/>
    <w:qFormat/>
    <w:uiPriority w:val="0"/>
    <w:pPr>
      <w:widowControl/>
      <w:jc w:val="left"/>
    </w:pPr>
    <w:rPr>
      <w:rFonts w:ascii="Tahoma" w:hAnsi="Tahoma" w:cs="Tahoma"/>
      <w:kern w:val="0"/>
      <w:sz w:val="24"/>
      <w:szCs w:val="20"/>
      <w:lang w:val="de-DE" w:eastAsia="de-DE"/>
    </w:rPr>
  </w:style>
  <w:style w:type="paragraph" w:styleId="35">
    <w:name w:val="toc 1"/>
    <w:basedOn w:val="1"/>
    <w:next w:val="1"/>
    <w:autoRedefine/>
    <w:qFormat/>
    <w:uiPriority w:val="39"/>
    <w:pPr>
      <w:spacing w:before="120" w:after="120"/>
      <w:jc w:val="left"/>
    </w:pPr>
    <w:rPr>
      <w:b/>
      <w:bCs/>
      <w:caps/>
      <w:sz w:val="20"/>
      <w:szCs w:val="20"/>
    </w:rPr>
  </w:style>
  <w:style w:type="paragraph" w:styleId="36">
    <w:name w:val="toc 4"/>
    <w:basedOn w:val="1"/>
    <w:next w:val="1"/>
    <w:autoRedefine/>
    <w:qFormat/>
    <w:uiPriority w:val="0"/>
    <w:pPr>
      <w:adjustRightInd w:val="0"/>
      <w:spacing w:line="312" w:lineRule="atLeast"/>
      <w:ind w:left="630"/>
      <w:jc w:val="left"/>
      <w:textAlignment w:val="baseline"/>
    </w:pPr>
    <w:rPr>
      <w:kern w:val="0"/>
      <w:sz w:val="18"/>
      <w:szCs w:val="18"/>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rPr>
      <w:szCs w:val="20"/>
    </w:rPr>
  </w:style>
  <w:style w:type="paragraph" w:styleId="39">
    <w:name w:val="toc 6"/>
    <w:basedOn w:val="1"/>
    <w:next w:val="1"/>
    <w:autoRedefine/>
    <w:qFormat/>
    <w:uiPriority w:val="0"/>
    <w:pPr>
      <w:adjustRightInd w:val="0"/>
      <w:spacing w:line="312" w:lineRule="atLeast"/>
      <w:ind w:left="1050"/>
      <w:jc w:val="left"/>
      <w:textAlignment w:val="baseline"/>
    </w:pPr>
    <w:rPr>
      <w:rFonts w:ascii="Calibri" w:hAnsi="Calibri"/>
      <w:kern w:val="0"/>
      <w:sz w:val="18"/>
      <w:szCs w:val="18"/>
    </w:rPr>
  </w:style>
  <w:style w:type="paragraph" w:styleId="40">
    <w:name w:val="Body Text Indent 3"/>
    <w:basedOn w:val="1"/>
    <w:link w:val="9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table of figures"/>
    <w:basedOn w:val="1"/>
    <w:next w:val="1"/>
    <w:autoRedefine/>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2">
    <w:name w:val="toc 2"/>
    <w:basedOn w:val="1"/>
    <w:next w:val="1"/>
    <w:autoRedefine/>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3">
    <w:name w:val="toc 9"/>
    <w:basedOn w:val="1"/>
    <w:next w:val="1"/>
    <w:autoRedefine/>
    <w:qFormat/>
    <w:uiPriority w:val="0"/>
    <w:pPr>
      <w:adjustRightInd w:val="0"/>
      <w:spacing w:line="312" w:lineRule="atLeast"/>
      <w:ind w:left="1680"/>
      <w:jc w:val="left"/>
      <w:textAlignment w:val="baseline"/>
    </w:pPr>
    <w:rPr>
      <w:kern w:val="0"/>
      <w:sz w:val="18"/>
      <w:szCs w:val="18"/>
    </w:rPr>
  </w:style>
  <w:style w:type="paragraph" w:styleId="44">
    <w:name w:val="Body Text 2"/>
    <w:basedOn w:val="1"/>
    <w:link w:val="306"/>
    <w:autoRedefine/>
    <w:qFormat/>
    <w:uiPriority w:val="0"/>
    <w:pPr>
      <w:widowControl/>
      <w:jc w:val="center"/>
    </w:pPr>
    <w:rPr>
      <w:rFonts w:ascii="Arial" w:hAnsi="Arial"/>
      <w:kern w:val="0"/>
      <w:sz w:val="16"/>
      <w:szCs w:val="20"/>
    </w:rPr>
  </w:style>
  <w:style w:type="paragraph" w:styleId="45">
    <w:name w:val="HTML Preformatted"/>
    <w:basedOn w:val="1"/>
    <w:link w:val="9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link w:val="285"/>
    <w:autoRedefine/>
    <w:unhideWhenUsed/>
    <w:qFormat/>
    <w:uiPriority w:val="0"/>
    <w:pPr>
      <w:widowControl/>
      <w:spacing w:before="100" w:beforeAutospacing="1" w:after="100" w:afterAutospacing="1"/>
      <w:jc w:val="left"/>
    </w:pPr>
    <w:rPr>
      <w:rFonts w:ascii="宋体" w:hAnsi="宋体" w:cs="宋体"/>
      <w:kern w:val="0"/>
      <w:sz w:val="24"/>
    </w:rPr>
  </w:style>
  <w:style w:type="paragraph" w:styleId="47">
    <w:name w:val="Title"/>
    <w:basedOn w:val="1"/>
    <w:link w:val="95"/>
    <w:autoRedefine/>
    <w:qFormat/>
    <w:uiPriority w:val="0"/>
    <w:pPr>
      <w:jc w:val="center"/>
      <w:outlineLvl w:val="0"/>
    </w:pPr>
    <w:rPr>
      <w:b/>
      <w:sz w:val="32"/>
      <w:szCs w:val="20"/>
      <w:lang w:val="zh-CN" w:eastAsia="zh-CN"/>
    </w:rPr>
  </w:style>
  <w:style w:type="paragraph" w:styleId="48">
    <w:name w:val="annotation subject"/>
    <w:basedOn w:val="17"/>
    <w:next w:val="17"/>
    <w:link w:val="96"/>
    <w:autoRedefine/>
    <w:qFormat/>
    <w:uiPriority w:val="99"/>
    <w:rPr>
      <w:b/>
      <w:bCs/>
    </w:rPr>
  </w:style>
  <w:style w:type="paragraph" w:styleId="49">
    <w:name w:val="Body Text First Indent"/>
    <w:basedOn w:val="19"/>
    <w:next w:val="39"/>
    <w:link w:val="276"/>
    <w:autoRedefine/>
    <w:qFormat/>
    <w:uiPriority w:val="0"/>
    <w:pPr>
      <w:tabs>
        <w:tab w:val="clear" w:pos="567"/>
      </w:tabs>
      <w:spacing w:before="0" w:line="360" w:lineRule="auto"/>
      <w:ind w:firstLine="200" w:firstLineChars="200"/>
    </w:pPr>
    <w:rPr>
      <w:rFonts w:ascii="Calibri" w:hAnsi="Calibri" w:eastAsia="仿宋_GB2312"/>
      <w:szCs w:val="22"/>
    </w:rPr>
  </w:style>
  <w:style w:type="paragraph" w:styleId="50">
    <w:name w:val="Body Text First Indent 2"/>
    <w:basedOn w:val="20"/>
    <w:autoRedefine/>
    <w:qFormat/>
    <w:uiPriority w:val="0"/>
    <w:pPr>
      <w:adjustRightInd w:val="0"/>
      <w:spacing w:after="120"/>
      <w:ind w:left="420" w:firstLine="420"/>
      <w:textAlignment w:val="baseline"/>
    </w:pPr>
    <w:rPr>
      <w:rFonts w:ascii="仿宋_GB2312" w:hAnsi="Arial" w:eastAsia="仿宋_GB2312"/>
      <w:color w:val="000000"/>
      <w:kern w:val="0"/>
      <w:sz w:val="20"/>
      <w:szCs w:val="32"/>
    </w:rPr>
  </w:style>
  <w:style w:type="table" w:styleId="52">
    <w:name w:val="Table Grid"/>
    <w:basedOn w:val="5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3">
    <w:name w:val="Colorful List Accent 1"/>
    <w:basedOn w:val="51"/>
    <w:autoRedefine/>
    <w:semiHidden/>
    <w:unhideWhenUsed/>
    <w:qFormat/>
    <w:uiPriority w:val="99"/>
    <w:rPr>
      <w:kern w:val="2"/>
      <w:sz w:val="21"/>
      <w:szCs w:val="22"/>
    </w:rPr>
    <w:tblPr>
      <w:tblCellMar>
        <w:top w:w="0" w:type="dxa"/>
        <w:left w:w="108" w:type="dxa"/>
        <w:bottom w:w="0" w:type="dxa"/>
        <w:right w:w="108" w:type="dxa"/>
      </w:tblCellMar>
    </w:tblPr>
    <w:tcPr>
      <w:shd w:val="clear" w:color="auto" w:fill="ECF1F9" w:themeFill="accent1" w:themeFillTint="19"/>
    </w:tcPr>
    <w:tblStylePr w:type="firstRow">
      <w:rPr>
        <w:b/>
        <w:bCs/>
        <w:color w:val="FFFFFF"/>
      </w:rPr>
      <w:tblPr/>
      <w:tcPr>
        <w:tcBorders>
          <w:bottom w:val="single" w:color="FFFFFF" w:themeColor="background1" w:sz="12" w:space="0"/>
        </w:tcBorders>
        <w:shd w:val="clear" w:color="auto" w:fill="D26012"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character" w:styleId="55">
    <w:name w:val="Strong"/>
    <w:autoRedefine/>
    <w:qFormat/>
    <w:uiPriority w:val="0"/>
    <w:rPr>
      <w:b/>
      <w:bCs/>
    </w:rPr>
  </w:style>
  <w:style w:type="character" w:styleId="56">
    <w:name w:val="page number"/>
    <w:autoRedefine/>
    <w:qFormat/>
    <w:uiPriority w:val="0"/>
  </w:style>
  <w:style w:type="character" w:styleId="57">
    <w:name w:val="FollowedHyperlink"/>
    <w:basedOn w:val="54"/>
    <w:autoRedefine/>
    <w:semiHidden/>
    <w:unhideWhenUsed/>
    <w:qFormat/>
    <w:uiPriority w:val="99"/>
    <w:rPr>
      <w:color w:val="954F72" w:themeColor="followedHyperlink"/>
      <w:u w:val="single"/>
      <w14:textFill>
        <w14:solidFill>
          <w14:schemeClr w14:val="folHlink"/>
        </w14:solidFill>
      </w14:textFill>
    </w:rPr>
  </w:style>
  <w:style w:type="character" w:styleId="58">
    <w:name w:val="Emphasis"/>
    <w:autoRedefine/>
    <w:qFormat/>
    <w:uiPriority w:val="0"/>
    <w:rPr>
      <w:color w:val="CC0033"/>
    </w:rPr>
  </w:style>
  <w:style w:type="character" w:styleId="59">
    <w:name w:val="Hyperlink"/>
    <w:autoRedefine/>
    <w:qFormat/>
    <w:uiPriority w:val="99"/>
    <w:rPr>
      <w:color w:val="0000FF"/>
      <w:u w:val="single"/>
    </w:rPr>
  </w:style>
  <w:style w:type="character" w:styleId="60">
    <w:name w:val="annotation reference"/>
    <w:autoRedefine/>
    <w:qFormat/>
    <w:uiPriority w:val="99"/>
    <w:rPr>
      <w:sz w:val="21"/>
      <w:szCs w:val="21"/>
    </w:rPr>
  </w:style>
  <w:style w:type="character" w:styleId="61">
    <w:name w:val="HTML Cite"/>
    <w:autoRedefine/>
    <w:qFormat/>
    <w:uiPriority w:val="0"/>
    <w:rPr>
      <w:i/>
      <w:iCs/>
    </w:rPr>
  </w:style>
  <w:style w:type="paragraph" w:customStyle="1" w:styleId="62">
    <w:name w:val="段"/>
    <w:next w:val="1"/>
    <w:autoRedefine/>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63">
    <w:name w:val="标题 1 Char"/>
    <w:link w:val="3"/>
    <w:autoRedefine/>
    <w:qFormat/>
    <w:uiPriority w:val="0"/>
    <w:rPr>
      <w:rFonts w:ascii="宋体"/>
      <w:b/>
      <w:kern w:val="44"/>
      <w:sz w:val="32"/>
    </w:rPr>
  </w:style>
  <w:style w:type="character" w:customStyle="1" w:styleId="64">
    <w:name w:val="标题 2 Char1"/>
    <w:link w:val="4"/>
    <w:autoRedefine/>
    <w:qFormat/>
    <w:uiPriority w:val="0"/>
    <w:rPr>
      <w:rFonts w:ascii="Arial" w:hAnsi="Arial" w:eastAsia="黑体"/>
      <w:b/>
      <w:sz w:val="30"/>
      <w:lang w:val="en-US" w:eastAsia="zh-CN" w:bidi="ar-SA"/>
    </w:rPr>
  </w:style>
  <w:style w:type="character" w:customStyle="1" w:styleId="65">
    <w:name w:val="正文缩进 Char1"/>
    <w:link w:val="5"/>
    <w:autoRedefine/>
    <w:qFormat/>
    <w:uiPriority w:val="0"/>
    <w:rPr>
      <w:rFonts w:ascii="宋体" w:eastAsia="宋体"/>
      <w:kern w:val="2"/>
      <w:sz w:val="24"/>
      <w:szCs w:val="24"/>
      <w:lang w:val="en-US" w:eastAsia="zh-CN" w:bidi="ar-SA"/>
    </w:rPr>
  </w:style>
  <w:style w:type="character" w:customStyle="1" w:styleId="66">
    <w:name w:val="标题 3 Char1"/>
    <w:link w:val="2"/>
    <w:autoRedefine/>
    <w:qFormat/>
    <w:uiPriority w:val="0"/>
    <w:rPr>
      <w:rFonts w:ascii="宋体" w:eastAsia="宋体"/>
      <w:b/>
      <w:sz w:val="24"/>
      <w:u w:val="single"/>
      <w:lang w:val="en-US" w:eastAsia="zh-CN" w:bidi="ar-SA"/>
    </w:rPr>
  </w:style>
  <w:style w:type="character" w:customStyle="1" w:styleId="67">
    <w:name w:val="标题 4 Char"/>
    <w:link w:val="6"/>
    <w:autoRedefine/>
    <w:qFormat/>
    <w:uiPriority w:val="0"/>
    <w:rPr>
      <w:rFonts w:ascii="Arial" w:hAnsi="Arial" w:eastAsia="黑体"/>
      <w:b/>
      <w:sz w:val="28"/>
    </w:rPr>
  </w:style>
  <w:style w:type="character" w:customStyle="1" w:styleId="68">
    <w:name w:val="标题 5 Char"/>
    <w:link w:val="7"/>
    <w:autoRedefine/>
    <w:qFormat/>
    <w:uiPriority w:val="0"/>
    <w:rPr>
      <w:b/>
      <w:sz w:val="28"/>
    </w:rPr>
  </w:style>
  <w:style w:type="character" w:customStyle="1" w:styleId="69">
    <w:name w:val="标题 6 Char"/>
    <w:link w:val="8"/>
    <w:autoRedefine/>
    <w:qFormat/>
    <w:uiPriority w:val="0"/>
    <w:rPr>
      <w:rFonts w:ascii="Arial" w:hAnsi="Arial" w:eastAsia="黑体"/>
      <w:b/>
      <w:sz w:val="24"/>
    </w:rPr>
  </w:style>
  <w:style w:type="character" w:customStyle="1" w:styleId="70">
    <w:name w:val="标题 7 Char"/>
    <w:link w:val="9"/>
    <w:autoRedefine/>
    <w:qFormat/>
    <w:uiPriority w:val="0"/>
    <w:rPr>
      <w:b/>
      <w:sz w:val="24"/>
    </w:rPr>
  </w:style>
  <w:style w:type="character" w:customStyle="1" w:styleId="71">
    <w:name w:val="标题 8 Char"/>
    <w:link w:val="10"/>
    <w:autoRedefine/>
    <w:qFormat/>
    <w:uiPriority w:val="0"/>
    <w:rPr>
      <w:rFonts w:ascii="Arial" w:hAnsi="Arial" w:eastAsia="黑体"/>
      <w:sz w:val="24"/>
    </w:rPr>
  </w:style>
  <w:style w:type="character" w:customStyle="1" w:styleId="72">
    <w:name w:val="标题 9 Char"/>
    <w:link w:val="11"/>
    <w:autoRedefine/>
    <w:qFormat/>
    <w:uiPriority w:val="0"/>
    <w:rPr>
      <w:rFonts w:ascii="Arial" w:hAnsi="Arial" w:eastAsia="黑体"/>
      <w:sz w:val="21"/>
    </w:rPr>
  </w:style>
  <w:style w:type="paragraph" w:customStyle="1" w:styleId="73">
    <w:name w:val="目录 71"/>
    <w:basedOn w:val="1"/>
    <w:next w:val="1"/>
    <w:autoRedefine/>
    <w:qFormat/>
    <w:uiPriority w:val="0"/>
    <w:pPr>
      <w:ind w:left="2520" w:leftChars="1200"/>
    </w:pPr>
  </w:style>
  <w:style w:type="character" w:customStyle="1" w:styleId="74">
    <w:name w:val="文档结构图 Char"/>
    <w:link w:val="16"/>
    <w:autoRedefine/>
    <w:qFormat/>
    <w:uiPriority w:val="0"/>
    <w:rPr>
      <w:kern w:val="2"/>
      <w:sz w:val="21"/>
      <w:szCs w:val="24"/>
      <w:shd w:val="clear" w:color="auto" w:fill="000080"/>
    </w:rPr>
  </w:style>
  <w:style w:type="character" w:customStyle="1" w:styleId="75">
    <w:name w:val="批注文字 Char1"/>
    <w:link w:val="17"/>
    <w:autoRedefine/>
    <w:qFormat/>
    <w:uiPriority w:val="99"/>
    <w:rPr>
      <w:kern w:val="2"/>
      <w:sz w:val="21"/>
      <w:szCs w:val="24"/>
    </w:rPr>
  </w:style>
  <w:style w:type="character" w:customStyle="1" w:styleId="76">
    <w:name w:val="正文文本 3 Char"/>
    <w:link w:val="18"/>
    <w:autoRedefine/>
    <w:qFormat/>
    <w:uiPriority w:val="0"/>
    <w:rPr>
      <w:kern w:val="2"/>
      <w:sz w:val="16"/>
      <w:szCs w:val="16"/>
    </w:rPr>
  </w:style>
  <w:style w:type="character" w:customStyle="1" w:styleId="77">
    <w:name w:val="正文文本 Char"/>
    <w:link w:val="19"/>
    <w:autoRedefine/>
    <w:qFormat/>
    <w:uiPriority w:val="0"/>
    <w:rPr>
      <w:rFonts w:ascii="宋体" w:hAnsi="宋体"/>
      <w:kern w:val="2"/>
      <w:sz w:val="24"/>
      <w:szCs w:val="24"/>
    </w:rPr>
  </w:style>
  <w:style w:type="character" w:customStyle="1" w:styleId="78">
    <w:name w:val="正文文本缩进 Char2"/>
    <w:link w:val="20"/>
    <w:autoRedefine/>
    <w:qFormat/>
    <w:uiPriority w:val="0"/>
    <w:rPr>
      <w:rFonts w:eastAsia="宋体"/>
      <w:kern w:val="2"/>
      <w:sz w:val="24"/>
      <w:szCs w:val="24"/>
      <w:lang w:val="en-US" w:eastAsia="zh-CN" w:bidi="ar-SA"/>
    </w:rPr>
  </w:style>
  <w:style w:type="paragraph" w:customStyle="1" w:styleId="79">
    <w:name w:val="目录 51"/>
    <w:basedOn w:val="1"/>
    <w:next w:val="1"/>
    <w:autoRedefine/>
    <w:qFormat/>
    <w:uiPriority w:val="0"/>
    <w:pPr>
      <w:ind w:left="1680" w:leftChars="800"/>
    </w:pPr>
  </w:style>
  <w:style w:type="paragraph" w:customStyle="1" w:styleId="80">
    <w:name w:val="目录 31"/>
    <w:basedOn w:val="1"/>
    <w:next w:val="1"/>
    <w:autoRedefine/>
    <w:qFormat/>
    <w:uiPriority w:val="39"/>
    <w:pPr>
      <w:ind w:left="840" w:leftChars="400"/>
    </w:pPr>
  </w:style>
  <w:style w:type="character" w:customStyle="1" w:styleId="81">
    <w:name w:val="纯文本 Char"/>
    <w:link w:val="27"/>
    <w:autoRedefine/>
    <w:qFormat/>
    <w:uiPriority w:val="0"/>
    <w:rPr>
      <w:rFonts w:hint="eastAsia" w:ascii="宋体" w:hAnsi="Courier New" w:eastAsia="宋体" w:cs="宋体"/>
      <w:kern w:val="2"/>
      <w:sz w:val="21"/>
    </w:rPr>
  </w:style>
  <w:style w:type="paragraph" w:customStyle="1" w:styleId="82">
    <w:name w:val="目录 81"/>
    <w:basedOn w:val="1"/>
    <w:next w:val="1"/>
    <w:autoRedefine/>
    <w:qFormat/>
    <w:uiPriority w:val="0"/>
    <w:pPr>
      <w:ind w:left="2940" w:leftChars="1400"/>
    </w:pPr>
  </w:style>
  <w:style w:type="character" w:customStyle="1" w:styleId="83">
    <w:name w:val="日期 Char"/>
    <w:link w:val="29"/>
    <w:autoRedefine/>
    <w:qFormat/>
    <w:uiPriority w:val="0"/>
    <w:rPr>
      <w:rFonts w:ascii="仿宋_GB2312" w:hAnsi="宋体" w:eastAsia="仿宋_GB2312"/>
      <w:color w:val="000000"/>
      <w:kern w:val="2"/>
      <w:sz w:val="24"/>
      <w:szCs w:val="24"/>
    </w:rPr>
  </w:style>
  <w:style w:type="character" w:customStyle="1" w:styleId="84">
    <w:name w:val="正文文本缩进 2 Char"/>
    <w:link w:val="30"/>
    <w:autoRedefine/>
    <w:qFormat/>
    <w:uiPriority w:val="0"/>
    <w:rPr>
      <w:rFonts w:ascii="仿宋_GB2312" w:eastAsia="仿宋_GB2312"/>
      <w:kern w:val="2"/>
      <w:sz w:val="24"/>
      <w:szCs w:val="24"/>
    </w:rPr>
  </w:style>
  <w:style w:type="character" w:customStyle="1" w:styleId="85">
    <w:name w:val="批注框文本 Char"/>
    <w:link w:val="31"/>
    <w:autoRedefine/>
    <w:qFormat/>
    <w:uiPriority w:val="99"/>
    <w:rPr>
      <w:kern w:val="2"/>
      <w:sz w:val="18"/>
      <w:szCs w:val="18"/>
    </w:rPr>
  </w:style>
  <w:style w:type="character" w:customStyle="1" w:styleId="86">
    <w:name w:val="页脚 Char1"/>
    <w:link w:val="32"/>
    <w:autoRedefine/>
    <w:qFormat/>
    <w:uiPriority w:val="99"/>
    <w:rPr>
      <w:rFonts w:ascii="宋体" w:eastAsia="宋体"/>
      <w:sz w:val="18"/>
      <w:lang w:val="en-US" w:eastAsia="zh-CN" w:bidi="ar-SA"/>
    </w:rPr>
  </w:style>
  <w:style w:type="character" w:customStyle="1" w:styleId="87">
    <w:name w:val="页眉 Char1"/>
    <w:link w:val="33"/>
    <w:autoRedefine/>
    <w:qFormat/>
    <w:uiPriority w:val="99"/>
    <w:rPr>
      <w:rFonts w:eastAsia="宋体"/>
      <w:kern w:val="2"/>
      <w:sz w:val="18"/>
      <w:szCs w:val="18"/>
      <w:lang w:val="en-US" w:eastAsia="zh-CN" w:bidi="ar-SA"/>
    </w:rPr>
  </w:style>
  <w:style w:type="paragraph" w:customStyle="1" w:styleId="88">
    <w:name w:val="目录 11"/>
    <w:basedOn w:val="1"/>
    <w:next w:val="1"/>
    <w:autoRedefine/>
    <w:qFormat/>
    <w:uiPriority w:val="39"/>
    <w:pPr>
      <w:tabs>
        <w:tab w:val="left" w:pos="1050"/>
        <w:tab w:val="right" w:leader="dot" w:pos="8937"/>
      </w:tabs>
      <w:spacing w:line="300" w:lineRule="auto"/>
    </w:pPr>
    <w:rPr>
      <w:rFonts w:ascii="宋体" w:hAnsi="宋体"/>
      <w:b/>
      <w:sz w:val="24"/>
    </w:rPr>
  </w:style>
  <w:style w:type="paragraph" w:customStyle="1" w:styleId="89">
    <w:name w:val="目录 41"/>
    <w:basedOn w:val="1"/>
    <w:next w:val="1"/>
    <w:autoRedefine/>
    <w:qFormat/>
    <w:uiPriority w:val="0"/>
    <w:pPr>
      <w:ind w:left="1260" w:leftChars="600"/>
    </w:pPr>
  </w:style>
  <w:style w:type="paragraph" w:customStyle="1" w:styleId="90">
    <w:name w:val="目录 61"/>
    <w:basedOn w:val="1"/>
    <w:next w:val="1"/>
    <w:autoRedefine/>
    <w:qFormat/>
    <w:uiPriority w:val="0"/>
    <w:pPr>
      <w:ind w:left="2100" w:leftChars="1000"/>
    </w:pPr>
  </w:style>
  <w:style w:type="character" w:customStyle="1" w:styleId="91">
    <w:name w:val="正文文本缩进 3 Char"/>
    <w:link w:val="40"/>
    <w:autoRedefine/>
    <w:qFormat/>
    <w:uiPriority w:val="0"/>
    <w:rPr>
      <w:rFonts w:ascii="宋体"/>
      <w:sz w:val="24"/>
    </w:rPr>
  </w:style>
  <w:style w:type="paragraph" w:customStyle="1" w:styleId="92">
    <w:name w:val="目录 21"/>
    <w:basedOn w:val="1"/>
    <w:next w:val="1"/>
    <w:autoRedefine/>
    <w:qFormat/>
    <w:uiPriority w:val="39"/>
    <w:pPr>
      <w:tabs>
        <w:tab w:val="right" w:leader="dot" w:pos="8937"/>
      </w:tabs>
      <w:spacing w:line="312" w:lineRule="auto"/>
      <w:ind w:left="420" w:leftChars="200"/>
    </w:pPr>
  </w:style>
  <w:style w:type="paragraph" w:customStyle="1" w:styleId="93">
    <w:name w:val="目录 91"/>
    <w:basedOn w:val="1"/>
    <w:next w:val="1"/>
    <w:autoRedefine/>
    <w:qFormat/>
    <w:uiPriority w:val="0"/>
    <w:pPr>
      <w:ind w:left="3360" w:leftChars="1600"/>
    </w:pPr>
  </w:style>
  <w:style w:type="character" w:customStyle="1" w:styleId="94">
    <w:name w:val="HTML 预设格式 Char"/>
    <w:link w:val="45"/>
    <w:autoRedefine/>
    <w:qFormat/>
    <w:uiPriority w:val="0"/>
    <w:rPr>
      <w:rFonts w:ascii="宋体" w:hAnsi="宋体" w:cs="宋体"/>
      <w:sz w:val="24"/>
      <w:szCs w:val="24"/>
    </w:rPr>
  </w:style>
  <w:style w:type="character" w:customStyle="1" w:styleId="95">
    <w:name w:val="标题 Char1"/>
    <w:link w:val="47"/>
    <w:autoRedefine/>
    <w:qFormat/>
    <w:uiPriority w:val="0"/>
    <w:rPr>
      <w:b/>
      <w:kern w:val="2"/>
      <w:sz w:val="32"/>
    </w:rPr>
  </w:style>
  <w:style w:type="character" w:customStyle="1" w:styleId="96">
    <w:name w:val="批注主题 Char"/>
    <w:link w:val="48"/>
    <w:autoRedefine/>
    <w:qFormat/>
    <w:uiPriority w:val="99"/>
    <w:rPr>
      <w:rFonts w:ascii="Times New Roman" w:hAnsi="Times New Roman" w:eastAsia="宋体" w:cs="Times New Roman"/>
      <w:b/>
      <w:bCs/>
      <w:kern w:val="2"/>
      <w:sz w:val="21"/>
      <w:szCs w:val="24"/>
      <w:lang w:val="en-US" w:eastAsia="zh-CN" w:bidi="ar-SA"/>
    </w:rPr>
  </w:style>
  <w:style w:type="character" w:customStyle="1" w:styleId="97">
    <w:name w:val="批注文字 字符"/>
    <w:autoRedefine/>
    <w:qFormat/>
    <w:uiPriority w:val="99"/>
    <w:rPr>
      <w:rFonts w:ascii="Times New Roman" w:hAnsi="Times New Roman" w:eastAsia="宋体" w:cs="Times New Roman"/>
      <w:sz w:val="24"/>
      <w:lang w:val="en-US" w:eastAsia="zh-CN" w:bidi="ar-SA"/>
    </w:rPr>
  </w:style>
  <w:style w:type="paragraph" w:customStyle="1" w:styleId="98">
    <w:name w:val="正文首行缩进 21"/>
    <w:basedOn w:val="20"/>
    <w:link w:val="99"/>
    <w:autoRedefine/>
    <w:qFormat/>
    <w:uiPriority w:val="0"/>
    <w:pPr>
      <w:spacing w:after="120" w:line="480" w:lineRule="exact"/>
      <w:ind w:left="420" w:leftChars="200" w:firstLine="420" w:firstLineChars="200"/>
    </w:pPr>
    <w:rPr>
      <w:szCs w:val="20"/>
    </w:rPr>
  </w:style>
  <w:style w:type="character" w:customStyle="1" w:styleId="99">
    <w:name w:val="正文首行缩进 2 Char"/>
    <w:link w:val="98"/>
    <w:autoRedefine/>
    <w:qFormat/>
    <w:uiPriority w:val="0"/>
    <w:rPr>
      <w:rFonts w:eastAsia="宋体"/>
      <w:kern w:val="2"/>
      <w:sz w:val="24"/>
      <w:szCs w:val="24"/>
      <w:lang w:val="en-US" w:eastAsia="zh-CN" w:bidi="ar-SA"/>
    </w:rPr>
  </w:style>
  <w:style w:type="table" w:customStyle="1" w:styleId="100">
    <w:name w:val="中等深浅网格 1 - 强调文字颜色 21"/>
    <w:basedOn w:val="51"/>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101">
    <w:name w:val="已访问的超链接1"/>
    <w:autoRedefine/>
    <w:qFormat/>
    <w:uiPriority w:val="0"/>
    <w:rPr>
      <w:color w:val="800080"/>
      <w:u w:val="single"/>
    </w:rPr>
  </w:style>
  <w:style w:type="character" w:customStyle="1" w:styleId="102">
    <w:name w:val="c21"/>
    <w:autoRedefine/>
    <w:qFormat/>
    <w:uiPriority w:val="0"/>
    <w:rPr>
      <w:rFonts w:hint="default" w:ascii="ˎ̥" w:hAnsi="ˎ̥"/>
      <w:color w:val="000000"/>
      <w:sz w:val="20"/>
      <w:szCs w:val="20"/>
      <w:u w:val="none"/>
    </w:rPr>
  </w:style>
  <w:style w:type="character" w:customStyle="1" w:styleId="103">
    <w:name w:val="title4"/>
    <w:autoRedefine/>
    <w:qFormat/>
    <w:uiPriority w:val="0"/>
    <w:rPr>
      <w:b/>
      <w:bCs/>
      <w:color w:val="1D87B3"/>
      <w:sz w:val="15"/>
      <w:szCs w:val="15"/>
    </w:rPr>
  </w:style>
  <w:style w:type="character" w:customStyle="1" w:styleId="104">
    <w:name w:val="标题 2 Char Char"/>
    <w:autoRedefine/>
    <w:qFormat/>
    <w:uiPriority w:val="0"/>
    <w:rPr>
      <w:rFonts w:ascii="Arial" w:hAnsi="Arial" w:eastAsia="黑体"/>
      <w:b/>
      <w:bCs/>
      <w:kern w:val="2"/>
      <w:sz w:val="32"/>
      <w:szCs w:val="32"/>
      <w:lang w:val="en-US" w:eastAsia="zh-CN" w:bidi="ar-SA"/>
    </w:rPr>
  </w:style>
  <w:style w:type="character" w:customStyle="1" w:styleId="105">
    <w:name w:val="black1"/>
    <w:autoRedefine/>
    <w:qFormat/>
    <w:uiPriority w:val="0"/>
    <w:rPr>
      <w:color w:val="000000"/>
    </w:rPr>
  </w:style>
  <w:style w:type="character" w:customStyle="1" w:styleId="106">
    <w:name w:val="street-address"/>
    <w:autoRedefine/>
    <w:qFormat/>
    <w:uiPriority w:val="0"/>
  </w:style>
  <w:style w:type="character" w:customStyle="1" w:styleId="107">
    <w:name w:val="locality"/>
    <w:autoRedefine/>
    <w:qFormat/>
    <w:uiPriority w:val="0"/>
  </w:style>
  <w:style w:type="character" w:customStyle="1" w:styleId="108">
    <w:name w:val="正文文本缩进 Char1"/>
    <w:link w:val="109"/>
    <w:autoRedefine/>
    <w:qFormat/>
    <w:uiPriority w:val="0"/>
    <w:rPr>
      <w:rFonts w:ascii="宋体" w:hAnsi="宋体" w:eastAsia="宋体"/>
      <w:sz w:val="24"/>
      <w:szCs w:val="24"/>
      <w:lang w:bidi="ar-SA"/>
    </w:rPr>
  </w:style>
  <w:style w:type="paragraph" w:customStyle="1" w:styleId="109">
    <w:name w:val="正文文本缩进1"/>
    <w:basedOn w:val="1"/>
    <w:link w:val="108"/>
    <w:autoRedefine/>
    <w:qFormat/>
    <w:uiPriority w:val="0"/>
    <w:pPr>
      <w:spacing w:line="480" w:lineRule="exact"/>
      <w:ind w:firstLine="480" w:firstLineChars="200"/>
    </w:pPr>
    <w:rPr>
      <w:rFonts w:ascii="宋体" w:hAnsi="宋体"/>
      <w:kern w:val="0"/>
      <w:sz w:val="24"/>
      <w:lang w:val="zh-CN" w:eastAsia="zh-CN"/>
    </w:rPr>
  </w:style>
  <w:style w:type="character" w:customStyle="1" w:styleId="110">
    <w:name w:val="Char Char11"/>
    <w:autoRedefine/>
    <w:qFormat/>
    <w:uiPriority w:val="0"/>
    <w:rPr>
      <w:rFonts w:ascii="宋体" w:eastAsia="宋体"/>
      <w:b/>
      <w:sz w:val="24"/>
      <w:u w:val="single"/>
      <w:lang w:val="en-US" w:eastAsia="zh-CN" w:bidi="ar-SA"/>
    </w:rPr>
  </w:style>
  <w:style w:type="character" w:customStyle="1" w:styleId="111">
    <w:name w:val="txt"/>
    <w:autoRedefine/>
    <w:qFormat/>
    <w:uiPriority w:val="0"/>
  </w:style>
  <w:style w:type="character" w:customStyle="1" w:styleId="112">
    <w:name w:val="正文缩进 Char Char"/>
    <w:link w:val="113"/>
    <w:autoRedefine/>
    <w:qFormat/>
    <w:uiPriority w:val="0"/>
    <w:rPr>
      <w:rFonts w:ascii="宋体" w:eastAsia="宋体"/>
      <w:snapToGrid w:val="0"/>
      <w:color w:val="000000"/>
      <w:kern w:val="28"/>
      <w:sz w:val="28"/>
      <w:lang w:bidi="ar-SA"/>
    </w:rPr>
  </w:style>
  <w:style w:type="paragraph" w:customStyle="1" w:styleId="113">
    <w:name w:val="正文缩进1"/>
    <w:basedOn w:val="1"/>
    <w:link w:val="112"/>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character" w:customStyle="1" w:styleId="114">
    <w:name w:val="普通文字1 Char1"/>
    <w:autoRedefine/>
    <w:qFormat/>
    <w:uiPriority w:val="0"/>
    <w:rPr>
      <w:rFonts w:ascii="宋体" w:hAnsi="Courier New" w:eastAsia="宋体"/>
      <w:kern w:val="2"/>
      <w:sz w:val="21"/>
      <w:lang w:val="en-US" w:eastAsia="zh-CN" w:bidi="ar-SA"/>
    </w:rPr>
  </w:style>
  <w:style w:type="character" w:customStyle="1" w:styleId="115">
    <w:name w:val="chanpin1"/>
    <w:autoRedefine/>
    <w:qFormat/>
    <w:uiPriority w:val="0"/>
    <w:rPr>
      <w:rFonts w:hint="default" w:ascii="ˎ̥" w:hAnsi="ˎ̥"/>
      <w:color w:val="000000"/>
      <w:sz w:val="20"/>
      <w:szCs w:val="20"/>
      <w:u w:val="none"/>
    </w:rPr>
  </w:style>
  <w:style w:type="character" w:customStyle="1" w:styleId="116">
    <w:name w:val="列出段落 Char1"/>
    <w:link w:val="117"/>
    <w:autoRedefine/>
    <w:qFormat/>
    <w:uiPriority w:val="34"/>
    <w:rPr>
      <w:rFonts w:ascii="Calibri" w:hAnsi="Calibri" w:eastAsia="宋体"/>
      <w:kern w:val="2"/>
      <w:sz w:val="21"/>
      <w:szCs w:val="22"/>
      <w:lang w:val="en-US" w:eastAsia="zh-CN" w:bidi="ar-SA"/>
    </w:rPr>
  </w:style>
  <w:style w:type="paragraph" w:customStyle="1" w:styleId="117">
    <w:name w:val="列出段落1"/>
    <w:basedOn w:val="1"/>
    <w:link w:val="116"/>
    <w:autoRedefine/>
    <w:qFormat/>
    <w:uiPriority w:val="0"/>
    <w:pPr>
      <w:ind w:firstLine="420" w:firstLineChars="200"/>
    </w:pPr>
    <w:rPr>
      <w:rFonts w:ascii="Calibri" w:hAnsi="Calibri"/>
      <w:szCs w:val="22"/>
    </w:rPr>
  </w:style>
  <w:style w:type="character" w:customStyle="1" w:styleId="118">
    <w:name w:val="标题 3 Char Char"/>
    <w:autoRedefine/>
    <w:qFormat/>
    <w:uiPriority w:val="0"/>
    <w:rPr>
      <w:rFonts w:eastAsia="宋体"/>
      <w:b/>
      <w:bCs/>
      <w:kern w:val="2"/>
      <w:sz w:val="32"/>
      <w:szCs w:val="32"/>
      <w:lang w:val="en-US" w:eastAsia="zh-CN" w:bidi="ar-SA"/>
    </w:rPr>
  </w:style>
  <w:style w:type="character" w:customStyle="1" w:styleId="119">
    <w:name w:val="段1 Char"/>
    <w:autoRedefine/>
    <w:qFormat/>
    <w:uiPriority w:val="0"/>
    <w:rPr>
      <w:rFonts w:ascii="宋体" w:eastAsia="宋体"/>
      <w:sz w:val="24"/>
      <w:lang w:val="en-US" w:eastAsia="zh-CN" w:bidi="ar-SA"/>
    </w:rPr>
  </w:style>
  <w:style w:type="character" w:customStyle="1" w:styleId="120">
    <w:name w:val="chanpin拷贝"/>
    <w:autoRedefine/>
    <w:qFormat/>
    <w:uiPriority w:val="0"/>
  </w:style>
  <w:style w:type="character" w:customStyle="1" w:styleId="121">
    <w:name w:val="纯文本 Char1"/>
    <w:autoRedefine/>
    <w:qFormat/>
    <w:uiPriority w:val="0"/>
    <w:rPr>
      <w:rFonts w:ascii="宋体" w:hAnsi="Courier New" w:eastAsia="宋体"/>
      <w:kern w:val="2"/>
      <w:sz w:val="21"/>
      <w:lang w:val="en-US" w:eastAsia="zh-CN" w:bidi="ar-SA"/>
    </w:rPr>
  </w:style>
  <w:style w:type="character" w:customStyle="1" w:styleId="122">
    <w:name w:val="apple-style-span"/>
    <w:autoRedefine/>
    <w:qFormat/>
    <w:uiPriority w:val="0"/>
    <w:rPr>
      <w:rFonts w:cs="Times New Roman"/>
    </w:rPr>
  </w:style>
  <w:style w:type="paragraph" w:customStyle="1" w:styleId="123">
    <w:name w:val="二级条标题"/>
    <w:basedOn w:val="124"/>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24">
    <w:name w:val="一级条标题"/>
    <w:basedOn w:val="125"/>
    <w:next w:val="1"/>
    <w:autoRedefine/>
    <w:qFormat/>
    <w:uiPriority w:val="0"/>
    <w:pPr>
      <w:numPr>
        <w:ilvl w:val="1"/>
      </w:numPr>
      <w:tabs>
        <w:tab w:val="left" w:pos="360"/>
        <w:tab w:val="left" w:pos="840"/>
      </w:tabs>
      <w:ind w:left="0" w:hanging="840"/>
      <w:outlineLvl w:val="1"/>
    </w:pPr>
  </w:style>
  <w:style w:type="paragraph" w:customStyle="1" w:styleId="125">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7">
    <w:name w:val="字元 字元"/>
    <w:basedOn w:val="1"/>
    <w:autoRedefine/>
    <w:qFormat/>
    <w:uiPriority w:val="0"/>
    <w:rPr>
      <w:rFonts w:ascii="Tahoma" w:hAnsi="Tahoma"/>
      <w:sz w:val="24"/>
      <w:szCs w:val="20"/>
    </w:rPr>
  </w:style>
  <w:style w:type="paragraph" w:customStyle="1" w:styleId="128">
    <w:name w:val="Char3 Char Char Char"/>
    <w:basedOn w:val="1"/>
    <w:autoRedefine/>
    <w:qFormat/>
    <w:uiPriority w:val="0"/>
    <w:rPr>
      <w:rFonts w:ascii="Tahoma" w:hAnsi="Tahoma"/>
      <w:sz w:val="24"/>
      <w:szCs w:val="20"/>
    </w:rPr>
  </w:style>
  <w:style w:type="paragraph" w:customStyle="1" w:styleId="12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0">
    <w:name w:val="项目编号2"/>
    <w:basedOn w:val="131"/>
    <w:autoRedefine/>
    <w:qFormat/>
    <w:uiPriority w:val="0"/>
    <w:pPr>
      <w:numPr>
        <w:numId w:val="2"/>
      </w:numPr>
    </w:pPr>
  </w:style>
  <w:style w:type="paragraph" w:customStyle="1" w:styleId="13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32">
    <w:name w:val="图中文字"/>
    <w:basedOn w:val="1"/>
    <w:autoRedefine/>
    <w:qFormat/>
    <w:uiPriority w:val="0"/>
    <w:pPr>
      <w:adjustRightInd w:val="0"/>
      <w:snapToGrid w:val="0"/>
      <w:spacing w:line="0" w:lineRule="atLeast"/>
      <w:jc w:val="center"/>
    </w:pPr>
    <w:rPr>
      <w:sz w:val="24"/>
      <w:szCs w:val="20"/>
    </w:rPr>
  </w:style>
  <w:style w:type="paragraph" w:customStyle="1" w:styleId="13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5">
    <w:name w:val="Char2"/>
    <w:basedOn w:val="1"/>
    <w:autoRedefine/>
    <w:qFormat/>
    <w:uiPriority w:val="0"/>
    <w:rPr>
      <w:rFonts w:ascii="Tahoma" w:hAnsi="Tahoma"/>
      <w:sz w:val="24"/>
      <w:szCs w:val="20"/>
    </w:rPr>
  </w:style>
  <w:style w:type="paragraph" w:customStyle="1" w:styleId="13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4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4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9">
    <w:name w:val="font8"/>
    <w:basedOn w:val="1"/>
    <w:autoRedefine/>
    <w:qFormat/>
    <w:uiPriority w:val="0"/>
    <w:pPr>
      <w:widowControl/>
      <w:spacing w:before="100" w:beforeAutospacing="1" w:after="100" w:afterAutospacing="1"/>
      <w:jc w:val="left"/>
    </w:pPr>
    <w:rPr>
      <w:kern w:val="0"/>
      <w:sz w:val="36"/>
      <w:szCs w:val="36"/>
    </w:rPr>
  </w:style>
  <w:style w:type="paragraph" w:customStyle="1" w:styleId="150">
    <w:name w:val="Char"/>
    <w:basedOn w:val="1"/>
    <w:autoRedefine/>
    <w:qFormat/>
    <w:uiPriority w:val="0"/>
    <w:pPr>
      <w:tabs>
        <w:tab w:val="left" w:pos="360"/>
      </w:tabs>
    </w:pPr>
    <w:rPr>
      <w:sz w:val="24"/>
    </w:rPr>
  </w:style>
  <w:style w:type="paragraph" w:customStyle="1" w:styleId="15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 Char1"/>
    <w:basedOn w:val="16"/>
    <w:autoRedefine/>
    <w:qFormat/>
    <w:uiPriority w:val="0"/>
    <w:rPr>
      <w:rFonts w:ascii="Tahoma" w:hAnsi="Tahoma"/>
      <w:sz w:val="24"/>
    </w:rPr>
  </w:style>
  <w:style w:type="paragraph" w:customStyle="1" w:styleId="15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9">
    <w:name w:val="Char1 Char Char Char1"/>
    <w:basedOn w:val="1"/>
    <w:autoRedefine/>
    <w:qFormat/>
    <w:uiPriority w:val="0"/>
    <w:rPr>
      <w:rFonts w:ascii="Tahoma" w:hAnsi="Tahoma" w:cs="仿宋_GB2312"/>
      <w:sz w:val="24"/>
      <w:szCs w:val="28"/>
    </w:rPr>
  </w:style>
  <w:style w:type="paragraph" w:customStyle="1" w:styleId="160">
    <w:name w:val="四级条标题"/>
    <w:basedOn w:val="161"/>
    <w:next w:val="1"/>
    <w:autoRedefine/>
    <w:qFormat/>
    <w:uiPriority w:val="0"/>
    <w:pPr>
      <w:numPr>
        <w:ilvl w:val="4"/>
      </w:numPr>
      <w:tabs>
        <w:tab w:val="left" w:pos="360"/>
        <w:tab w:val="left" w:pos="840"/>
      </w:tabs>
      <w:ind w:left="0" w:hanging="840"/>
      <w:outlineLvl w:val="4"/>
    </w:pPr>
  </w:style>
  <w:style w:type="paragraph" w:customStyle="1" w:styleId="161">
    <w:name w:val="三级条标题"/>
    <w:basedOn w:val="123"/>
    <w:next w:val="1"/>
    <w:autoRedefine/>
    <w:qFormat/>
    <w:uiPriority w:val="0"/>
    <w:pPr>
      <w:numPr>
        <w:ilvl w:val="3"/>
        <w:numId w:val="1"/>
      </w:numPr>
      <w:ind w:left="0" w:hanging="840"/>
      <w:outlineLvl w:val="3"/>
    </w:pPr>
  </w:style>
  <w:style w:type="paragraph" w:customStyle="1" w:styleId="16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3">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4">
    <w:name w:val="List Paragraph1"/>
    <w:basedOn w:val="1"/>
    <w:autoRedefine/>
    <w:qFormat/>
    <w:uiPriority w:val="0"/>
    <w:pPr>
      <w:ind w:firstLine="420" w:firstLineChars="200"/>
    </w:pPr>
    <w:rPr>
      <w:rFonts w:ascii="Calibri" w:hAnsi="Calibri"/>
      <w:szCs w:val="22"/>
    </w:rPr>
  </w:style>
  <w:style w:type="paragraph" w:customStyle="1" w:styleId="165">
    <w:name w:val="项目符号1"/>
    <w:basedOn w:val="166"/>
    <w:autoRedefine/>
    <w:qFormat/>
    <w:uiPriority w:val="0"/>
    <w:pPr>
      <w:ind w:left="-25" w:firstLine="0"/>
    </w:pPr>
  </w:style>
  <w:style w:type="paragraph" w:customStyle="1" w:styleId="166">
    <w:name w:val="正文文本样式"/>
    <w:basedOn w:val="1"/>
    <w:link w:val="494"/>
    <w:autoRedefine/>
    <w:qFormat/>
    <w:uiPriority w:val="0"/>
    <w:pPr>
      <w:spacing w:line="360" w:lineRule="auto"/>
      <w:ind w:firstLine="482"/>
    </w:pPr>
    <w:rPr>
      <w:rFonts w:cs="宋体"/>
      <w:sz w:val="24"/>
      <w:szCs w:val="20"/>
    </w:rPr>
  </w:style>
  <w:style w:type="paragraph" w:customStyle="1" w:styleId="16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五级条标题"/>
    <w:basedOn w:val="160"/>
    <w:next w:val="1"/>
    <w:autoRedefine/>
    <w:qFormat/>
    <w:uiPriority w:val="0"/>
    <w:pPr>
      <w:numPr>
        <w:ilvl w:val="5"/>
      </w:numPr>
      <w:ind w:left="0" w:hanging="840"/>
      <w:outlineLvl w:val="5"/>
    </w:pPr>
  </w:style>
  <w:style w:type="paragraph" w:customStyle="1" w:styleId="17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1">
    <w:name w:val="文档正文"/>
    <w:basedOn w:val="1"/>
    <w:autoRedefine/>
    <w:qFormat/>
    <w:uiPriority w:val="0"/>
    <w:pPr>
      <w:snapToGrid w:val="0"/>
      <w:spacing w:before="120" w:after="120" w:line="180" w:lineRule="auto"/>
    </w:pPr>
    <w:rPr>
      <w:rFonts w:ascii="Arial" w:hAnsi="Arial"/>
      <w:szCs w:val="20"/>
    </w:rPr>
  </w:style>
  <w:style w:type="paragraph" w:customStyle="1" w:styleId="17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4">
    <w:name w:val="Char Char Char1 Char"/>
    <w:basedOn w:val="1"/>
    <w:autoRedefine/>
    <w:qFormat/>
    <w:uiPriority w:val="0"/>
    <w:rPr>
      <w:rFonts w:ascii="Tahoma" w:hAnsi="Tahoma"/>
      <w:sz w:val="24"/>
      <w:szCs w:val="20"/>
    </w:rPr>
  </w:style>
  <w:style w:type="paragraph" w:customStyle="1" w:styleId="17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6">
    <w:name w:val="1名"/>
    <w:basedOn w:val="1"/>
    <w:autoRedefine/>
    <w:qFormat/>
    <w:uiPriority w:val="0"/>
    <w:pPr>
      <w:numPr>
        <w:ilvl w:val="0"/>
        <w:numId w:val="5"/>
      </w:numPr>
      <w:spacing w:before="120"/>
    </w:pPr>
    <w:rPr>
      <w:rFonts w:ascii="宋体"/>
      <w:sz w:val="28"/>
      <w:szCs w:val="20"/>
    </w:rPr>
  </w:style>
  <w:style w:type="paragraph" w:customStyle="1" w:styleId="17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8">
    <w:name w:val="Char Char Char1 Char1"/>
    <w:basedOn w:val="1"/>
    <w:autoRedefine/>
    <w:qFormat/>
    <w:uiPriority w:val="0"/>
    <w:rPr>
      <w:rFonts w:ascii="Tahoma" w:hAnsi="Tahoma"/>
      <w:sz w:val="24"/>
      <w:szCs w:val="20"/>
    </w:rPr>
  </w:style>
  <w:style w:type="paragraph" w:customStyle="1" w:styleId="179">
    <w:name w:val="Char Char Char Char Char Char Char Char Char Char"/>
    <w:basedOn w:val="1"/>
    <w:autoRedefine/>
    <w:qFormat/>
    <w:uiPriority w:val="0"/>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1">
    <w:name w:val="Char1"/>
    <w:basedOn w:val="1"/>
    <w:autoRedefine/>
    <w:qFormat/>
    <w:uiPriority w:val="0"/>
    <w:pPr>
      <w:tabs>
        <w:tab w:val="left" w:pos="360"/>
      </w:tabs>
    </w:pPr>
    <w:rPr>
      <w:sz w:val="24"/>
    </w:rPr>
  </w:style>
  <w:style w:type="paragraph" w:customStyle="1" w:styleId="18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默认段落字体 Para Char Char Char Char"/>
    <w:basedOn w:val="1"/>
    <w:autoRedefine/>
    <w:qFormat/>
    <w:uiPriority w:val="0"/>
    <w:rPr>
      <w:rFonts w:ascii="Arial" w:hAnsi="Arial" w:cs="Arial"/>
      <w:szCs w:val="21"/>
    </w:rPr>
  </w:style>
  <w:style w:type="paragraph" w:customStyle="1" w:styleId="18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9">
    <w:name w:val="Char Char Char"/>
    <w:basedOn w:val="1"/>
    <w:autoRedefine/>
    <w:qFormat/>
    <w:uiPriority w:val="0"/>
    <w:rPr>
      <w:rFonts w:ascii="Tahoma" w:hAnsi="Tahoma"/>
      <w:sz w:val="24"/>
      <w:szCs w:val="20"/>
    </w:rPr>
  </w:style>
  <w:style w:type="paragraph" w:customStyle="1" w:styleId="19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1">
    <w:name w:val="缺省文本"/>
    <w:basedOn w:val="1"/>
    <w:autoRedefine/>
    <w:qFormat/>
    <w:uiPriority w:val="0"/>
    <w:pPr>
      <w:autoSpaceDE w:val="0"/>
      <w:autoSpaceDN w:val="0"/>
      <w:adjustRightInd w:val="0"/>
      <w:jc w:val="left"/>
    </w:pPr>
    <w:rPr>
      <w:kern w:val="0"/>
      <w:sz w:val="24"/>
    </w:rPr>
  </w:style>
  <w:style w:type="paragraph" w:customStyle="1" w:styleId="192">
    <w:name w:val="Char Char Char1"/>
    <w:basedOn w:val="1"/>
    <w:autoRedefine/>
    <w:qFormat/>
    <w:uiPriority w:val="0"/>
    <w:rPr>
      <w:rFonts w:ascii="Tahoma" w:hAnsi="Tahoma"/>
      <w:sz w:val="24"/>
      <w:szCs w:val="20"/>
    </w:rPr>
  </w:style>
  <w:style w:type="paragraph" w:customStyle="1" w:styleId="19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5">
    <w:name w:val="样式2"/>
    <w:basedOn w:val="38"/>
    <w:link w:val="498"/>
    <w:autoRedefine/>
    <w:qFormat/>
    <w:uiPriority w:val="0"/>
    <w:pPr>
      <w:spacing w:line="360" w:lineRule="auto"/>
      <w:jc w:val="center"/>
    </w:pPr>
    <w:rPr>
      <w:sz w:val="24"/>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8">
    <w:name w:val="正文 + 楷体_GB2312"/>
    <w:basedOn w:val="1"/>
    <w:autoRedefine/>
    <w:qFormat/>
    <w:uiPriority w:val="0"/>
    <w:pPr>
      <w:widowControl/>
      <w:jc w:val="left"/>
    </w:pPr>
    <w:rPr>
      <w:rFonts w:ascii="楷体_GB2312" w:eastAsia="楷体_GB2312" w:cs="Arial"/>
      <w:kern w:val="0"/>
      <w:sz w:val="24"/>
    </w:rPr>
  </w:style>
  <w:style w:type="paragraph" w:customStyle="1" w:styleId="19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0">
    <w:name w:val="1 Char Char Char Char"/>
    <w:basedOn w:val="1"/>
    <w:autoRedefine/>
    <w:qFormat/>
    <w:uiPriority w:val="0"/>
    <w:rPr>
      <w:rFonts w:ascii="Tahoma" w:hAnsi="Tahoma"/>
      <w:sz w:val="24"/>
      <w:szCs w:val="20"/>
    </w:rPr>
  </w:style>
  <w:style w:type="paragraph" w:customStyle="1" w:styleId="20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2">
    <w:name w:val="列出段落11"/>
    <w:basedOn w:val="1"/>
    <w:autoRedefine/>
    <w:qFormat/>
    <w:uiPriority w:val="0"/>
    <w:pPr>
      <w:ind w:firstLine="420" w:firstLineChars="200"/>
    </w:pPr>
    <w:rPr>
      <w:rFonts w:ascii="Calibri" w:hAnsi="Calibri"/>
      <w:szCs w:val="22"/>
    </w:rPr>
  </w:style>
  <w:style w:type="paragraph" w:customStyle="1" w:styleId="20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4">
    <w:name w:val="字元 字元1"/>
    <w:basedOn w:val="1"/>
    <w:autoRedefine/>
    <w:qFormat/>
    <w:uiPriority w:val="0"/>
    <w:rPr>
      <w:rFonts w:ascii="Tahoma" w:hAnsi="Tahoma"/>
      <w:sz w:val="24"/>
      <w:szCs w:val="20"/>
    </w:rPr>
  </w:style>
  <w:style w:type="paragraph" w:customStyle="1" w:styleId="20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6"/>
    <w:autoRedefine/>
    <w:qFormat/>
    <w:uiPriority w:val="0"/>
    <w:pPr>
      <w:numPr>
        <w:ilvl w:val="0"/>
        <w:numId w:val="6"/>
      </w:numPr>
    </w:pPr>
  </w:style>
  <w:style w:type="paragraph" w:customStyle="1" w:styleId="207">
    <w:name w:val="Char21"/>
    <w:basedOn w:val="1"/>
    <w:qFormat/>
    <w:uiPriority w:val="0"/>
    <w:rPr>
      <w:rFonts w:ascii="Tahoma" w:hAnsi="Tahoma"/>
      <w:sz w:val="24"/>
      <w:szCs w:val="20"/>
    </w:rPr>
  </w:style>
  <w:style w:type="paragraph" w:customStyle="1" w:styleId="208">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209">
    <w:name w:val="Char Char Char Char Char Char Char Char Char Char1"/>
    <w:basedOn w:val="1"/>
    <w:autoRedefine/>
    <w:qFormat/>
    <w:uiPriority w:val="0"/>
    <w:rPr>
      <w:rFonts w:ascii="宋体" w:hAnsi="宋体" w:cs="Courier New"/>
      <w:sz w:val="32"/>
      <w:szCs w:val="32"/>
    </w:rPr>
  </w:style>
  <w:style w:type="paragraph" w:customStyle="1" w:styleId="210">
    <w:name w:val="正文文本样式 加粗"/>
    <w:basedOn w:val="166"/>
    <w:autoRedefine/>
    <w:qFormat/>
    <w:uiPriority w:val="0"/>
    <w:rPr>
      <w:b/>
    </w:rPr>
  </w:style>
  <w:style w:type="paragraph" w:customStyle="1" w:styleId="211">
    <w:name w:val="Char2 Char Char Char Char Char Char"/>
    <w:basedOn w:val="1"/>
    <w:autoRedefine/>
    <w:qFormat/>
    <w:uiPriority w:val="0"/>
    <w:pPr>
      <w:widowControl/>
      <w:spacing w:line="400" w:lineRule="exact"/>
      <w:jc w:val="center"/>
    </w:pPr>
  </w:style>
  <w:style w:type="paragraph" w:customStyle="1" w:styleId="212">
    <w:name w:val="Char Char4"/>
    <w:basedOn w:val="1"/>
    <w:autoRedefine/>
    <w:qFormat/>
    <w:uiPriority w:val="0"/>
    <w:pPr>
      <w:widowControl/>
      <w:spacing w:line="400" w:lineRule="exact"/>
      <w:jc w:val="center"/>
    </w:pPr>
  </w:style>
  <w:style w:type="paragraph" w:customStyle="1" w:styleId="213">
    <w:name w:val="Char3 Char Char Char1"/>
    <w:basedOn w:val="1"/>
    <w:autoRedefine/>
    <w:qFormat/>
    <w:uiPriority w:val="0"/>
    <w:rPr>
      <w:rFonts w:ascii="Tahoma" w:hAnsi="Tahoma"/>
      <w:sz w:val="24"/>
      <w:szCs w:val="20"/>
    </w:rPr>
  </w:style>
  <w:style w:type="paragraph" w:styleId="214">
    <w:name w:val="No Spacing"/>
    <w:link w:val="299"/>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16">
    <w:name w:val="中等深浅网格 1 - 强调文字颜色 2 Char"/>
    <w:link w:val="217"/>
    <w:autoRedefine/>
    <w:qFormat/>
    <w:uiPriority w:val="0"/>
    <w:rPr>
      <w:kern w:val="2"/>
      <w:sz w:val="21"/>
      <w:szCs w:val="24"/>
      <w:lang w:val="zh-CN" w:eastAsia="zh-CN" w:bidi="ar-SA"/>
    </w:rPr>
  </w:style>
  <w:style w:type="paragraph" w:customStyle="1" w:styleId="217">
    <w:name w:val="1"/>
    <w:link w:val="216"/>
    <w:autoRedefine/>
    <w:qFormat/>
    <w:uiPriority w:val="0"/>
    <w:rPr>
      <w:rFonts w:ascii="Times New Roman" w:hAnsi="Times New Roman" w:eastAsia="宋体" w:cs="Times New Roman"/>
      <w:kern w:val="2"/>
      <w:sz w:val="21"/>
      <w:szCs w:val="24"/>
      <w:lang w:val="zh-CN" w:eastAsia="zh-CN" w:bidi="ar-SA"/>
    </w:rPr>
  </w:style>
  <w:style w:type="paragraph" w:customStyle="1" w:styleId="218">
    <w:name w:val="图文"/>
    <w:basedOn w:val="1"/>
    <w:autoRedefine/>
    <w:qFormat/>
    <w:uiPriority w:val="0"/>
    <w:pPr>
      <w:adjustRightInd w:val="0"/>
      <w:snapToGrid w:val="0"/>
      <w:spacing w:after="50" w:line="360" w:lineRule="auto"/>
    </w:pPr>
    <w:rPr>
      <w:sz w:val="24"/>
    </w:rPr>
  </w:style>
  <w:style w:type="paragraph" w:customStyle="1" w:styleId="21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20">
    <w:name w:val="正文表格"/>
    <w:basedOn w:val="1"/>
    <w:link w:val="221"/>
    <w:autoRedefine/>
    <w:qFormat/>
    <w:uiPriority w:val="0"/>
    <w:pPr>
      <w:adjustRightInd w:val="0"/>
      <w:snapToGrid w:val="0"/>
      <w:jc w:val="left"/>
    </w:pPr>
    <w:rPr>
      <w:rFonts w:ascii="宋体" w:hAnsi="宋体"/>
      <w:color w:val="000000"/>
      <w:szCs w:val="21"/>
      <w:lang w:val="zh-CN" w:eastAsia="zh-CN"/>
    </w:rPr>
  </w:style>
  <w:style w:type="character" w:customStyle="1" w:styleId="221">
    <w:name w:val="正文表格 Char"/>
    <w:link w:val="220"/>
    <w:autoRedefine/>
    <w:qFormat/>
    <w:uiPriority w:val="0"/>
    <w:rPr>
      <w:rFonts w:ascii="宋体" w:hAnsi="宋体"/>
      <w:color w:val="000000"/>
      <w:kern w:val="2"/>
      <w:sz w:val="21"/>
      <w:szCs w:val="21"/>
    </w:rPr>
  </w:style>
  <w:style w:type="paragraph" w:customStyle="1" w:styleId="222">
    <w:name w:val="正文重点"/>
    <w:basedOn w:val="1"/>
    <w:link w:val="223"/>
    <w:autoRedefine/>
    <w:qFormat/>
    <w:uiPriority w:val="0"/>
    <w:pPr>
      <w:adjustRightInd w:val="0"/>
      <w:spacing w:line="360" w:lineRule="auto"/>
      <w:ind w:firstLine="482" w:firstLineChars="200"/>
      <w:jc w:val="left"/>
      <w:textAlignment w:val="baseline"/>
    </w:pPr>
    <w:rPr>
      <w:b/>
      <w:kern w:val="0"/>
      <w:sz w:val="24"/>
      <w:szCs w:val="20"/>
      <w:lang w:val="zh-CN" w:eastAsia="zh-CN"/>
    </w:rPr>
  </w:style>
  <w:style w:type="character" w:customStyle="1" w:styleId="223">
    <w:name w:val="正文重点 Char"/>
    <w:link w:val="222"/>
    <w:autoRedefine/>
    <w:qFormat/>
    <w:uiPriority w:val="0"/>
    <w:rPr>
      <w:b/>
      <w:sz w:val="24"/>
    </w:rPr>
  </w:style>
  <w:style w:type="paragraph" w:customStyle="1" w:styleId="224">
    <w:name w:val="标题1-附件"/>
    <w:basedOn w:val="3"/>
    <w:autoRedefine/>
    <w:qFormat/>
    <w:uiPriority w:val="0"/>
    <w:pPr>
      <w:jc w:val="left"/>
    </w:pPr>
    <w:rPr>
      <w:sz w:val="24"/>
      <w:szCs w:val="24"/>
    </w:rPr>
  </w:style>
  <w:style w:type="paragraph" w:customStyle="1" w:styleId="225">
    <w:name w:val="正文小标题"/>
    <w:basedOn w:val="1"/>
    <w:next w:val="5"/>
    <w:link w:val="226"/>
    <w:autoRedefine/>
    <w:qFormat/>
    <w:uiPriority w:val="0"/>
    <w:pPr>
      <w:adjustRightInd w:val="0"/>
      <w:snapToGrid w:val="0"/>
      <w:spacing w:before="312" w:beforeLines="100" w:after="312" w:afterLines="100"/>
      <w:ind w:firstLine="482"/>
      <w:jc w:val="left"/>
    </w:pPr>
    <w:rPr>
      <w:rFonts w:ascii="宋体" w:hAnsi="宋体"/>
      <w:b/>
      <w:i/>
      <w:color w:val="FF0000"/>
      <w:sz w:val="24"/>
      <w:szCs w:val="20"/>
      <w:lang w:val="zh-CN" w:eastAsia="zh-CN"/>
    </w:rPr>
  </w:style>
  <w:style w:type="character" w:customStyle="1" w:styleId="226">
    <w:name w:val="正文小标题 Char"/>
    <w:link w:val="225"/>
    <w:autoRedefine/>
    <w:qFormat/>
    <w:uiPriority w:val="0"/>
    <w:rPr>
      <w:rFonts w:ascii="宋体" w:hAnsi="宋体"/>
      <w:b/>
      <w:i/>
      <w:color w:val="FF0000"/>
      <w:kern w:val="2"/>
      <w:sz w:val="24"/>
    </w:rPr>
  </w:style>
  <w:style w:type="paragraph" w:customStyle="1" w:styleId="227">
    <w:name w:val="正文大标题"/>
    <w:basedOn w:val="225"/>
    <w:next w:val="5"/>
    <w:link w:val="228"/>
    <w:autoRedefine/>
    <w:qFormat/>
    <w:uiPriority w:val="0"/>
    <w:pPr>
      <w:jc w:val="center"/>
    </w:pPr>
    <w:rPr>
      <w:i w:val="0"/>
      <w:color w:val="000000"/>
      <w:sz w:val="28"/>
      <w:szCs w:val="21"/>
    </w:rPr>
  </w:style>
  <w:style w:type="character" w:customStyle="1" w:styleId="228">
    <w:name w:val="正文大标题 Char"/>
    <w:link w:val="227"/>
    <w:autoRedefine/>
    <w:qFormat/>
    <w:uiPriority w:val="0"/>
    <w:rPr>
      <w:rFonts w:ascii="宋体" w:hAnsi="宋体"/>
      <w:b/>
      <w:color w:val="000000"/>
      <w:kern w:val="2"/>
      <w:sz w:val="28"/>
      <w:szCs w:val="21"/>
    </w:rPr>
  </w:style>
  <w:style w:type="paragraph" w:customStyle="1" w:styleId="229">
    <w:name w:val="注释"/>
    <w:basedOn w:val="1"/>
    <w:link w:val="230"/>
    <w:autoRedefine/>
    <w:qFormat/>
    <w:uiPriority w:val="0"/>
    <w:pPr>
      <w:adjustRightInd w:val="0"/>
      <w:snapToGrid w:val="0"/>
      <w:ind w:left="420" w:hanging="420" w:hangingChars="200"/>
      <w:jc w:val="left"/>
    </w:pPr>
    <w:rPr>
      <w:rFonts w:ascii="宋体" w:hAnsi="宋体"/>
      <w:szCs w:val="21"/>
      <w:lang w:val="zh-CN" w:eastAsia="zh-CN"/>
    </w:rPr>
  </w:style>
  <w:style w:type="character" w:customStyle="1" w:styleId="230">
    <w:name w:val="注释 Char"/>
    <w:link w:val="229"/>
    <w:autoRedefine/>
    <w:qFormat/>
    <w:uiPriority w:val="0"/>
    <w:rPr>
      <w:rFonts w:ascii="宋体" w:hAnsi="宋体"/>
      <w:kern w:val="2"/>
      <w:sz w:val="21"/>
      <w:szCs w:val="21"/>
    </w:rPr>
  </w:style>
  <w:style w:type="paragraph" w:customStyle="1" w:styleId="23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3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3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35">
    <w:name w:val="表格1"/>
    <w:basedOn w:val="1"/>
    <w:autoRedefine/>
    <w:qFormat/>
    <w:uiPriority w:val="0"/>
    <w:pPr>
      <w:ind w:firstLine="480" w:firstLineChars="200"/>
      <w:jc w:val="center"/>
    </w:pPr>
    <w:rPr>
      <w:sz w:val="24"/>
      <w:szCs w:val="20"/>
    </w:rPr>
  </w:style>
  <w:style w:type="character" w:customStyle="1" w:styleId="236">
    <w:name w:val="纯文本 字符1"/>
    <w:autoRedefine/>
    <w:qFormat/>
    <w:uiPriority w:val="0"/>
    <w:rPr>
      <w:rFonts w:ascii="宋体" w:hAnsi="Courier New"/>
    </w:rPr>
  </w:style>
  <w:style w:type="character" w:customStyle="1" w:styleId="237">
    <w:name w:val="bjh-p"/>
    <w:autoRedefine/>
    <w:qFormat/>
    <w:uiPriority w:val="0"/>
  </w:style>
  <w:style w:type="paragraph" w:customStyle="1" w:styleId="23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39">
    <w:name w:val="正文格式 Char"/>
    <w:link w:val="240"/>
    <w:autoRedefine/>
    <w:qFormat/>
    <w:locked/>
    <w:uiPriority w:val="0"/>
    <w:rPr>
      <w:rFonts w:ascii="宋体" w:hAnsi="宋体"/>
      <w:sz w:val="24"/>
      <w:szCs w:val="24"/>
      <w:lang w:val="en-GB"/>
    </w:rPr>
  </w:style>
  <w:style w:type="paragraph" w:customStyle="1" w:styleId="240">
    <w:name w:val="正文格式"/>
    <w:basedOn w:val="1"/>
    <w:link w:val="239"/>
    <w:autoRedefine/>
    <w:qFormat/>
    <w:uiPriority w:val="0"/>
    <w:pPr>
      <w:spacing w:beforeLines="50" w:line="360" w:lineRule="auto"/>
      <w:ind w:firstLine="480" w:firstLineChars="200"/>
    </w:pPr>
    <w:rPr>
      <w:rFonts w:ascii="宋体" w:hAnsi="宋体"/>
      <w:kern w:val="0"/>
      <w:sz w:val="24"/>
      <w:lang w:val="en-GB" w:eastAsia="zh-CN"/>
    </w:rPr>
  </w:style>
  <w:style w:type="character" w:customStyle="1" w:styleId="241">
    <w:name w:val="标题 3 Char"/>
    <w:autoRedefine/>
    <w:qFormat/>
    <w:uiPriority w:val="0"/>
    <w:rPr>
      <w:rFonts w:ascii="宋体" w:eastAsia="宋体"/>
      <w:b/>
      <w:sz w:val="24"/>
      <w:u w:val="single"/>
      <w:lang w:val="en-US" w:eastAsia="zh-CN" w:bidi="ar-SA"/>
    </w:rPr>
  </w:style>
  <w:style w:type="character" w:customStyle="1" w:styleId="242">
    <w:name w:val="正文缩进 Char"/>
    <w:autoRedefine/>
    <w:qFormat/>
    <w:uiPriority w:val="0"/>
    <w:rPr>
      <w:rFonts w:ascii="宋体" w:eastAsia="宋体"/>
      <w:kern w:val="2"/>
      <w:sz w:val="24"/>
      <w:szCs w:val="24"/>
      <w:lang w:val="en-US" w:eastAsia="zh-CN" w:bidi="ar-SA"/>
    </w:rPr>
  </w:style>
  <w:style w:type="character" w:customStyle="1" w:styleId="243">
    <w:name w:val="Char Char111"/>
    <w:autoRedefine/>
    <w:qFormat/>
    <w:uiPriority w:val="0"/>
    <w:rPr>
      <w:rFonts w:ascii="宋体" w:eastAsia="宋体"/>
      <w:b/>
      <w:sz w:val="24"/>
      <w:u w:val="single"/>
      <w:lang w:val="en-US" w:eastAsia="zh-CN" w:bidi="ar-SA"/>
    </w:rPr>
  </w:style>
  <w:style w:type="character" w:customStyle="1" w:styleId="244">
    <w:name w:val="正文文本缩进 Char"/>
    <w:autoRedefine/>
    <w:qFormat/>
    <w:uiPriority w:val="99"/>
    <w:rPr>
      <w:rFonts w:eastAsia="宋体"/>
      <w:kern w:val="2"/>
      <w:sz w:val="24"/>
      <w:szCs w:val="24"/>
      <w:lang w:val="en-US" w:eastAsia="zh-CN" w:bidi="ar-SA"/>
    </w:rPr>
  </w:style>
  <w:style w:type="character" w:customStyle="1" w:styleId="245">
    <w:name w:val="列出段落 Char"/>
    <w:link w:val="246"/>
    <w:autoRedefine/>
    <w:qFormat/>
    <w:uiPriority w:val="0"/>
    <w:rPr>
      <w:rFonts w:ascii="Calibri" w:hAnsi="Calibri" w:eastAsia="宋体"/>
      <w:kern w:val="2"/>
      <w:sz w:val="21"/>
      <w:szCs w:val="22"/>
      <w:lang w:val="en-US" w:eastAsia="zh-CN" w:bidi="ar-SA"/>
    </w:rPr>
  </w:style>
  <w:style w:type="paragraph" w:styleId="246">
    <w:name w:val="List Paragraph"/>
    <w:basedOn w:val="1"/>
    <w:link w:val="245"/>
    <w:autoRedefine/>
    <w:qFormat/>
    <w:uiPriority w:val="1"/>
    <w:pPr>
      <w:ind w:firstLine="420" w:firstLineChars="200"/>
    </w:pPr>
    <w:rPr>
      <w:rFonts w:ascii="Calibri" w:hAnsi="Calibri"/>
      <w:szCs w:val="22"/>
    </w:rPr>
  </w:style>
  <w:style w:type="character" w:customStyle="1" w:styleId="247">
    <w:name w:val="页眉 Char"/>
    <w:autoRedefine/>
    <w:qFormat/>
    <w:uiPriority w:val="0"/>
    <w:rPr>
      <w:rFonts w:eastAsia="宋体"/>
      <w:kern w:val="2"/>
      <w:sz w:val="18"/>
      <w:szCs w:val="18"/>
      <w:lang w:val="en-US" w:eastAsia="zh-CN" w:bidi="ar-SA"/>
    </w:rPr>
  </w:style>
  <w:style w:type="character" w:customStyle="1" w:styleId="248">
    <w:name w:val="标题 2 Char"/>
    <w:autoRedefine/>
    <w:qFormat/>
    <w:uiPriority w:val="0"/>
    <w:rPr>
      <w:rFonts w:ascii="Arial" w:hAnsi="Arial" w:eastAsia="黑体"/>
      <w:b/>
      <w:sz w:val="30"/>
      <w:lang w:val="en-US" w:eastAsia="zh-CN" w:bidi="ar-SA"/>
    </w:rPr>
  </w:style>
  <w:style w:type="paragraph" w:customStyle="1" w:styleId="249">
    <w:name w:val="字元 字元2"/>
    <w:basedOn w:val="1"/>
    <w:autoRedefine/>
    <w:qFormat/>
    <w:uiPriority w:val="0"/>
    <w:rPr>
      <w:rFonts w:ascii="Tahoma" w:hAnsi="Tahoma"/>
      <w:sz w:val="24"/>
      <w:szCs w:val="20"/>
    </w:rPr>
  </w:style>
  <w:style w:type="paragraph" w:customStyle="1" w:styleId="250">
    <w:name w:val="Char3 Char Char Char2"/>
    <w:basedOn w:val="1"/>
    <w:autoRedefine/>
    <w:qFormat/>
    <w:uiPriority w:val="0"/>
    <w:rPr>
      <w:rFonts w:ascii="Tahoma" w:hAnsi="Tahoma"/>
      <w:sz w:val="24"/>
      <w:szCs w:val="20"/>
    </w:rPr>
  </w:style>
  <w:style w:type="paragraph" w:customStyle="1" w:styleId="25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52">
    <w:name w:val="Char3"/>
    <w:basedOn w:val="1"/>
    <w:autoRedefine/>
    <w:qFormat/>
    <w:uiPriority w:val="0"/>
    <w:pPr>
      <w:tabs>
        <w:tab w:val="left" w:pos="360"/>
      </w:tabs>
    </w:pPr>
    <w:rPr>
      <w:sz w:val="24"/>
    </w:rPr>
  </w:style>
  <w:style w:type="paragraph" w:customStyle="1" w:styleId="253">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5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5">
    <w:name w:val="列出段落2"/>
    <w:basedOn w:val="1"/>
    <w:autoRedefine/>
    <w:qFormat/>
    <w:uiPriority w:val="0"/>
    <w:pPr>
      <w:ind w:firstLine="420" w:firstLineChars="200"/>
    </w:pPr>
    <w:rPr>
      <w:rFonts w:ascii="Calibri" w:hAnsi="Calibri"/>
      <w:szCs w:val="22"/>
    </w:rPr>
  </w:style>
  <w:style w:type="paragraph" w:customStyle="1" w:styleId="256">
    <w:name w:val="Char Char Char1 Char2"/>
    <w:basedOn w:val="1"/>
    <w:autoRedefine/>
    <w:qFormat/>
    <w:uiPriority w:val="0"/>
    <w:rPr>
      <w:rFonts w:ascii="Tahoma" w:hAnsi="Tahoma"/>
      <w:sz w:val="24"/>
      <w:szCs w:val="20"/>
    </w:rPr>
  </w:style>
  <w:style w:type="paragraph" w:customStyle="1" w:styleId="257">
    <w:name w:val="Char Char Char2"/>
    <w:basedOn w:val="1"/>
    <w:autoRedefine/>
    <w:qFormat/>
    <w:uiPriority w:val="0"/>
    <w:rPr>
      <w:rFonts w:ascii="Tahoma" w:hAnsi="Tahoma"/>
      <w:sz w:val="24"/>
      <w:szCs w:val="20"/>
    </w:rPr>
  </w:style>
  <w:style w:type="paragraph" w:customStyle="1" w:styleId="258">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9">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6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61">
    <w:name w:val="Char22"/>
    <w:basedOn w:val="1"/>
    <w:autoRedefine/>
    <w:qFormat/>
    <w:uiPriority w:val="0"/>
    <w:rPr>
      <w:rFonts w:ascii="Tahoma" w:hAnsi="Tahoma"/>
      <w:sz w:val="24"/>
      <w:szCs w:val="20"/>
    </w:rPr>
  </w:style>
  <w:style w:type="paragraph" w:customStyle="1" w:styleId="262">
    <w:name w:val="Char Char Char Char Char Char Char Char Char Char2"/>
    <w:basedOn w:val="1"/>
    <w:autoRedefine/>
    <w:qFormat/>
    <w:uiPriority w:val="0"/>
    <w:rPr>
      <w:rFonts w:ascii="宋体" w:hAnsi="宋体" w:cs="Courier New"/>
      <w:sz w:val="32"/>
      <w:szCs w:val="32"/>
    </w:rPr>
  </w:style>
  <w:style w:type="paragraph" w:customStyle="1" w:styleId="263">
    <w:name w:val="Char2 Char Char Char Char Char Char1"/>
    <w:basedOn w:val="1"/>
    <w:autoRedefine/>
    <w:qFormat/>
    <w:uiPriority w:val="0"/>
    <w:pPr>
      <w:widowControl/>
      <w:spacing w:line="400" w:lineRule="exact"/>
      <w:jc w:val="center"/>
    </w:pPr>
  </w:style>
  <w:style w:type="character" w:customStyle="1" w:styleId="264">
    <w:name w:val="页脚 Char"/>
    <w:autoRedefine/>
    <w:qFormat/>
    <w:uiPriority w:val="99"/>
    <w:rPr>
      <w:rFonts w:ascii="宋体" w:eastAsia="宋体"/>
      <w:sz w:val="18"/>
      <w:lang w:val="en-US" w:eastAsia="zh-CN" w:bidi="ar-SA"/>
    </w:rPr>
  </w:style>
  <w:style w:type="paragraph" w:customStyle="1" w:styleId="265">
    <w:name w:val="Char Char41"/>
    <w:basedOn w:val="1"/>
    <w:autoRedefine/>
    <w:qFormat/>
    <w:uiPriority w:val="0"/>
    <w:pPr>
      <w:widowControl/>
      <w:spacing w:line="400" w:lineRule="exact"/>
      <w:jc w:val="center"/>
    </w:pPr>
  </w:style>
  <w:style w:type="character" w:customStyle="1" w:styleId="266">
    <w:name w:val="批注文字 Char"/>
    <w:autoRedefine/>
    <w:qFormat/>
    <w:uiPriority w:val="99"/>
    <w:rPr>
      <w:kern w:val="2"/>
      <w:sz w:val="21"/>
      <w:szCs w:val="24"/>
    </w:rPr>
  </w:style>
  <w:style w:type="character" w:customStyle="1" w:styleId="267">
    <w:name w:val="标题 Char"/>
    <w:autoRedefine/>
    <w:qFormat/>
    <w:uiPriority w:val="0"/>
    <w:rPr>
      <w:b/>
      <w:kern w:val="2"/>
      <w:sz w:val="32"/>
    </w:rPr>
  </w:style>
  <w:style w:type="paragraph" w:customStyle="1" w:styleId="268">
    <w:name w:val="图例"/>
    <w:basedOn w:val="1"/>
    <w:autoRedefine/>
    <w:qFormat/>
    <w:uiPriority w:val="0"/>
    <w:pPr>
      <w:spacing w:before="120" w:after="120" w:line="360" w:lineRule="auto"/>
      <w:jc w:val="center"/>
    </w:pPr>
    <w:rPr>
      <w:rFonts w:eastAsia="仿宋_GB2312"/>
      <w:b/>
      <w:sz w:val="24"/>
      <w:szCs w:val="20"/>
    </w:rPr>
  </w:style>
  <w:style w:type="paragraph" w:customStyle="1" w:styleId="269">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70">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1">
    <w:name w:val="成文日期"/>
    <w:basedOn w:val="1"/>
    <w:link w:val="272"/>
    <w:autoRedefine/>
    <w:qFormat/>
    <w:uiPriority w:val="0"/>
    <w:pPr>
      <w:spacing w:line="570" w:lineRule="exact"/>
      <w:ind w:right="400" w:rightChars="400" w:firstLine="200" w:firstLineChars="200"/>
      <w:jc w:val="right"/>
    </w:pPr>
    <w:rPr>
      <w:rFonts w:ascii="仿宋_GB2312" w:eastAsia="仿宋_GB2312"/>
      <w:sz w:val="32"/>
      <w:szCs w:val="20"/>
      <w:lang w:val="zh-CN" w:eastAsia="zh-CN"/>
    </w:rPr>
  </w:style>
  <w:style w:type="character" w:customStyle="1" w:styleId="272">
    <w:name w:val="成文日期 Char"/>
    <w:link w:val="271"/>
    <w:autoRedefine/>
    <w:qFormat/>
    <w:uiPriority w:val="0"/>
    <w:rPr>
      <w:rFonts w:ascii="仿宋_GB2312" w:eastAsia="仿宋_GB2312"/>
      <w:kern w:val="2"/>
      <w:sz w:val="32"/>
      <w:lang w:val="zh-CN" w:eastAsia="zh-CN"/>
    </w:rPr>
  </w:style>
  <w:style w:type="character" w:customStyle="1" w:styleId="273">
    <w:name w:val="☆ 正文 Char"/>
    <w:link w:val="274"/>
    <w:autoRedefine/>
    <w:qFormat/>
    <w:uiPriority w:val="0"/>
    <w:rPr>
      <w:kern w:val="2"/>
      <w:sz w:val="21"/>
      <w:szCs w:val="22"/>
    </w:rPr>
  </w:style>
  <w:style w:type="paragraph" w:customStyle="1" w:styleId="274">
    <w:name w:val="☆ 正文"/>
    <w:basedOn w:val="1"/>
    <w:link w:val="273"/>
    <w:autoRedefine/>
    <w:qFormat/>
    <w:uiPriority w:val="0"/>
    <w:rPr>
      <w:szCs w:val="22"/>
    </w:rPr>
  </w:style>
  <w:style w:type="character" w:customStyle="1" w:styleId="275">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76">
    <w:name w:val="正文首行缩进 Char"/>
    <w:link w:val="49"/>
    <w:autoRedefine/>
    <w:qFormat/>
    <w:uiPriority w:val="0"/>
    <w:rPr>
      <w:rFonts w:ascii="Calibri" w:hAnsi="Calibri" w:eastAsia="仿宋_GB2312"/>
      <w:kern w:val="2"/>
      <w:sz w:val="24"/>
      <w:szCs w:val="22"/>
    </w:rPr>
  </w:style>
  <w:style w:type="paragraph" w:customStyle="1" w:styleId="277">
    <w:name w:val="首行缩进"/>
    <w:basedOn w:val="1"/>
    <w:autoRedefine/>
    <w:qFormat/>
    <w:uiPriority w:val="0"/>
    <w:pPr>
      <w:widowControl/>
      <w:adjustRightInd w:val="0"/>
      <w:snapToGrid w:val="0"/>
      <w:spacing w:after="200"/>
      <w:ind w:firstLine="480" w:firstLineChars="200"/>
      <w:jc w:val="left"/>
    </w:pPr>
    <w:rPr>
      <w:rFonts w:ascii="Calibri" w:hAnsi="Calibri"/>
      <w:kern w:val="0"/>
      <w:sz w:val="22"/>
      <w:szCs w:val="22"/>
      <w:lang w:val="zh-CN"/>
    </w:rPr>
  </w:style>
  <w:style w:type="character" w:customStyle="1" w:styleId="278">
    <w:name w:val="font91"/>
    <w:autoRedefine/>
    <w:qFormat/>
    <w:uiPriority w:val="0"/>
    <w:rPr>
      <w:rFonts w:hint="eastAsia" w:ascii="宋体" w:hAnsi="宋体" w:eastAsia="宋体" w:cs="宋体"/>
      <w:b/>
      <w:bCs/>
      <w:color w:val="000000"/>
      <w:sz w:val="12"/>
      <w:szCs w:val="12"/>
      <w:u w:val="none"/>
    </w:rPr>
  </w:style>
  <w:style w:type="character" w:customStyle="1" w:styleId="279">
    <w:name w:val="font112"/>
    <w:autoRedefine/>
    <w:qFormat/>
    <w:uiPriority w:val="0"/>
    <w:rPr>
      <w:rFonts w:hint="eastAsia" w:ascii="宋体" w:hAnsi="宋体" w:eastAsia="宋体" w:cs="宋体"/>
      <w:color w:val="000000"/>
      <w:sz w:val="12"/>
      <w:szCs w:val="12"/>
      <w:u w:val="none"/>
    </w:rPr>
  </w:style>
  <w:style w:type="character" w:customStyle="1" w:styleId="280">
    <w:name w:val="font11"/>
    <w:autoRedefine/>
    <w:qFormat/>
    <w:uiPriority w:val="0"/>
    <w:rPr>
      <w:rFonts w:hint="eastAsia" w:ascii="宋体" w:hAnsi="宋体" w:eastAsia="宋体" w:cs="宋体"/>
      <w:color w:val="000000"/>
      <w:sz w:val="20"/>
      <w:szCs w:val="20"/>
      <w:u w:val="none"/>
    </w:rPr>
  </w:style>
  <w:style w:type="character" w:customStyle="1" w:styleId="281">
    <w:name w:val="font121"/>
    <w:autoRedefine/>
    <w:qFormat/>
    <w:uiPriority w:val="0"/>
    <w:rPr>
      <w:rFonts w:hint="eastAsia" w:ascii="宋体" w:hAnsi="宋体" w:eastAsia="宋体" w:cs="宋体"/>
      <w:color w:val="000000"/>
      <w:sz w:val="12"/>
      <w:szCs w:val="12"/>
      <w:u w:val="none"/>
    </w:rPr>
  </w:style>
  <w:style w:type="character" w:customStyle="1" w:styleId="282">
    <w:name w:val="font01"/>
    <w:autoRedefine/>
    <w:qFormat/>
    <w:uiPriority w:val="0"/>
    <w:rPr>
      <w:rFonts w:hint="default" w:ascii="Times New Roman" w:hAnsi="Times New Roman" w:cs="Times New Roman"/>
      <w:color w:val="000000"/>
      <w:sz w:val="18"/>
      <w:szCs w:val="18"/>
      <w:u w:val="none"/>
    </w:rPr>
  </w:style>
  <w:style w:type="character" w:customStyle="1" w:styleId="283">
    <w:name w:val="font161"/>
    <w:autoRedefine/>
    <w:qFormat/>
    <w:uiPriority w:val="0"/>
    <w:rPr>
      <w:rFonts w:hint="eastAsia" w:ascii="宋体" w:hAnsi="宋体" w:eastAsia="宋体" w:cs="宋体"/>
      <w:color w:val="000000"/>
      <w:sz w:val="12"/>
      <w:szCs w:val="12"/>
      <w:u w:val="none"/>
    </w:rPr>
  </w:style>
  <w:style w:type="character" w:customStyle="1" w:styleId="284">
    <w:name w:val="font151"/>
    <w:autoRedefine/>
    <w:qFormat/>
    <w:uiPriority w:val="0"/>
    <w:rPr>
      <w:rFonts w:hint="default" w:ascii="Times New Roman" w:hAnsi="Times New Roman" w:cs="Times New Roman"/>
      <w:color w:val="000000"/>
      <w:sz w:val="12"/>
      <w:szCs w:val="12"/>
      <w:u w:val="none"/>
    </w:rPr>
  </w:style>
  <w:style w:type="character" w:customStyle="1" w:styleId="285">
    <w:name w:val="普通(网站) Char"/>
    <w:link w:val="46"/>
    <w:autoRedefine/>
    <w:qFormat/>
    <w:uiPriority w:val="0"/>
    <w:rPr>
      <w:rFonts w:ascii="宋体" w:hAnsi="宋体" w:cs="宋体"/>
      <w:sz w:val="24"/>
      <w:szCs w:val="24"/>
    </w:rPr>
  </w:style>
  <w:style w:type="paragraph" w:customStyle="1" w:styleId="286">
    <w:name w:val="2"/>
    <w:basedOn w:val="1"/>
    <w:next w:val="1"/>
    <w:autoRedefine/>
    <w:qFormat/>
    <w:uiPriority w:val="99"/>
    <w:pPr>
      <w:autoSpaceDE w:val="0"/>
      <w:autoSpaceDN w:val="0"/>
      <w:ind w:left="323" w:firstLine="420"/>
      <w:jc w:val="left"/>
    </w:pPr>
    <w:rPr>
      <w:rFonts w:ascii="宋体" w:hAnsi="宋体" w:cs="宋体"/>
      <w:kern w:val="0"/>
      <w:sz w:val="22"/>
      <w:szCs w:val="22"/>
      <w:lang w:val="zh-CN" w:bidi="zh-CN"/>
    </w:rPr>
  </w:style>
  <w:style w:type="paragraph" w:customStyle="1" w:styleId="287">
    <w:name w:val="_Style 266"/>
    <w:autoRedefine/>
    <w:qFormat/>
    <w:uiPriority w:val="99"/>
    <w:rPr>
      <w:rFonts w:ascii="Calibri" w:hAnsi="Calibri" w:eastAsia="宋体" w:cs="Times New Roman"/>
      <w:kern w:val="2"/>
      <w:sz w:val="21"/>
      <w:szCs w:val="22"/>
      <w:lang w:val="zh-CN" w:eastAsia="zh-CN" w:bidi="ar-SA"/>
    </w:rPr>
  </w:style>
  <w:style w:type="character" w:customStyle="1" w:styleId="288">
    <w:name w:val="样式 正文缩进 + 首行缩进:  2 字符 Char"/>
    <w:link w:val="289"/>
    <w:autoRedefine/>
    <w:qFormat/>
    <w:uiPriority w:val="0"/>
    <w:rPr>
      <w:sz w:val="24"/>
    </w:rPr>
  </w:style>
  <w:style w:type="paragraph" w:customStyle="1" w:styleId="289">
    <w:name w:val="样式 正文缩进 + 首行缩进:  2 字符"/>
    <w:basedOn w:val="5"/>
    <w:link w:val="288"/>
    <w:autoRedefine/>
    <w:qFormat/>
    <w:uiPriority w:val="0"/>
    <w:pPr>
      <w:autoSpaceDE/>
      <w:autoSpaceDN/>
      <w:adjustRightInd/>
      <w:spacing w:line="360" w:lineRule="auto"/>
      <w:ind w:firstLine="200" w:firstLineChars="200"/>
      <w:jc w:val="both"/>
    </w:pPr>
    <w:rPr>
      <w:rFonts w:ascii="Times New Roman"/>
      <w:kern w:val="0"/>
      <w:szCs w:val="20"/>
    </w:rPr>
  </w:style>
  <w:style w:type="character" w:customStyle="1" w:styleId="290">
    <w:name w:val="Table Text Char"/>
    <w:link w:val="291"/>
    <w:autoRedefine/>
    <w:qFormat/>
    <w:uiPriority w:val="0"/>
    <w:rPr>
      <w:rFonts w:ascii="Arial" w:hAnsi="Arial"/>
      <w:sz w:val="18"/>
      <w:szCs w:val="24"/>
    </w:rPr>
  </w:style>
  <w:style w:type="paragraph" w:customStyle="1" w:styleId="291">
    <w:name w:val="Table Text"/>
    <w:basedOn w:val="1"/>
    <w:link w:val="290"/>
    <w:autoRedefine/>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292">
    <w:name w:val="unnamed31"/>
    <w:autoRedefine/>
    <w:qFormat/>
    <w:uiPriority w:val="0"/>
    <w:rPr>
      <w:rFonts w:hint="eastAsia" w:ascii="幼圆" w:eastAsia="幼圆"/>
      <w:sz w:val="21"/>
      <w:szCs w:val="21"/>
    </w:rPr>
  </w:style>
  <w:style w:type="character" w:customStyle="1" w:styleId="293">
    <w:name w:val="small"/>
    <w:autoRedefine/>
    <w:qFormat/>
    <w:uiPriority w:val="0"/>
  </w:style>
  <w:style w:type="character" w:customStyle="1" w:styleId="294">
    <w:name w:val="正文首行缩进2字 Char Char"/>
    <w:autoRedefine/>
    <w:qFormat/>
    <w:uiPriority w:val="0"/>
    <w:rPr>
      <w:rFonts w:eastAsia="楷体_GB2312"/>
      <w:sz w:val="28"/>
      <w:szCs w:val="24"/>
      <w:lang w:val="en-US" w:eastAsia="zh-CN" w:bidi="ar-SA"/>
    </w:rPr>
  </w:style>
  <w:style w:type="character" w:customStyle="1" w:styleId="295">
    <w:name w:val="tpc_content1"/>
    <w:autoRedefine/>
    <w:qFormat/>
    <w:uiPriority w:val="0"/>
    <w:rPr>
      <w:sz w:val="18"/>
      <w:szCs w:val="18"/>
    </w:rPr>
  </w:style>
  <w:style w:type="character" w:customStyle="1" w:styleId="296">
    <w:name w:val="正文符号1 Char Char"/>
    <w:autoRedefine/>
    <w:qFormat/>
    <w:uiPriority w:val="0"/>
    <w:rPr>
      <w:rFonts w:eastAsia="楷体_GB2312"/>
      <w:sz w:val="28"/>
      <w:szCs w:val="24"/>
      <w:lang w:val="en-US" w:eastAsia="zh-CN" w:bidi="ar-SA"/>
    </w:rPr>
  </w:style>
  <w:style w:type="character" w:customStyle="1" w:styleId="297">
    <w:name w:val="reg"/>
    <w:autoRedefine/>
    <w:qFormat/>
    <w:uiPriority w:val="0"/>
  </w:style>
  <w:style w:type="character" w:customStyle="1" w:styleId="298">
    <w:name w:val="font21"/>
    <w:autoRedefine/>
    <w:qFormat/>
    <w:uiPriority w:val="0"/>
    <w:rPr>
      <w:rFonts w:hint="eastAsia" w:ascii="宋体" w:hAnsi="宋体" w:eastAsia="宋体" w:cs="宋体"/>
      <w:color w:val="000000"/>
      <w:sz w:val="21"/>
      <w:szCs w:val="21"/>
      <w:u w:val="none"/>
    </w:rPr>
  </w:style>
  <w:style w:type="character" w:customStyle="1" w:styleId="299">
    <w:name w:val="无间隔 Char"/>
    <w:link w:val="214"/>
    <w:autoRedefine/>
    <w:qFormat/>
    <w:uiPriority w:val="1"/>
    <w:rPr>
      <w:kern w:val="2"/>
      <w:sz w:val="21"/>
      <w:szCs w:val="24"/>
    </w:rPr>
  </w:style>
  <w:style w:type="character" w:customStyle="1" w:styleId="300">
    <w:name w:val="txt1"/>
    <w:autoRedefine/>
    <w:qFormat/>
    <w:uiPriority w:val="0"/>
    <w:rPr>
      <w:color w:val="000099"/>
      <w:sz w:val="20"/>
      <w:szCs w:val="20"/>
      <w:u w:val="none"/>
    </w:rPr>
  </w:style>
  <w:style w:type="character" w:customStyle="1" w:styleId="301">
    <w:name w:val="标书正文格式 Char"/>
    <w:link w:val="302"/>
    <w:autoRedefine/>
    <w:qFormat/>
    <w:uiPriority w:val="0"/>
    <w:rPr>
      <w:rFonts w:eastAsia="楷体_GB2312"/>
      <w:sz w:val="24"/>
      <w:szCs w:val="24"/>
    </w:rPr>
  </w:style>
  <w:style w:type="paragraph" w:customStyle="1" w:styleId="302">
    <w:name w:val="标书正文格式"/>
    <w:link w:val="301"/>
    <w:autoRedefine/>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303">
    <w:name w:val="项目编号（2） Char Char"/>
    <w:link w:val="304"/>
    <w:autoRedefine/>
    <w:qFormat/>
    <w:uiPriority w:val="0"/>
    <w:rPr>
      <w:rFonts w:cs="宋体"/>
      <w:kern w:val="21"/>
      <w:sz w:val="24"/>
    </w:rPr>
  </w:style>
  <w:style w:type="paragraph" w:customStyle="1" w:styleId="304">
    <w:name w:val="项目编号（2）"/>
    <w:basedOn w:val="1"/>
    <w:link w:val="303"/>
    <w:autoRedefine/>
    <w:qFormat/>
    <w:uiPriority w:val="0"/>
    <w:pPr>
      <w:tabs>
        <w:tab w:val="left" w:pos="960"/>
      </w:tabs>
      <w:spacing w:beforeLines="50" w:afterLines="50" w:line="300" w:lineRule="auto"/>
      <w:ind w:left="960" w:hanging="420"/>
    </w:pPr>
    <w:rPr>
      <w:rFonts w:cs="宋体"/>
      <w:kern w:val="21"/>
      <w:sz w:val="24"/>
      <w:szCs w:val="20"/>
    </w:rPr>
  </w:style>
  <w:style w:type="character" w:customStyle="1" w:styleId="305">
    <w:name w:val="Header Char"/>
    <w:autoRedefine/>
    <w:qFormat/>
    <w:locked/>
    <w:uiPriority w:val="0"/>
    <w:rPr>
      <w:rFonts w:cs="Times New Roman"/>
      <w:kern w:val="2"/>
      <w:sz w:val="18"/>
      <w:szCs w:val="18"/>
    </w:rPr>
  </w:style>
  <w:style w:type="character" w:customStyle="1" w:styleId="306">
    <w:name w:val="正文文本 2 Char"/>
    <w:link w:val="44"/>
    <w:autoRedefine/>
    <w:qFormat/>
    <w:uiPriority w:val="0"/>
    <w:rPr>
      <w:rFonts w:ascii="Arial" w:hAnsi="Arial"/>
      <w:sz w:val="16"/>
    </w:rPr>
  </w:style>
  <w:style w:type="character" w:customStyle="1" w:styleId="307">
    <w:name w:val="unnamed1"/>
    <w:autoRedefine/>
    <w:qFormat/>
    <w:uiPriority w:val="0"/>
  </w:style>
  <w:style w:type="character" w:customStyle="1" w:styleId="308">
    <w:name w:val="bt1"/>
    <w:autoRedefine/>
    <w:qFormat/>
    <w:uiPriority w:val="0"/>
    <w:rPr>
      <w:color w:val="000000"/>
    </w:rPr>
  </w:style>
  <w:style w:type="character" w:customStyle="1" w:styleId="309">
    <w:name w:val="unnamed11"/>
    <w:autoRedefine/>
    <w:qFormat/>
    <w:uiPriority w:val="0"/>
  </w:style>
  <w:style w:type="character" w:customStyle="1" w:styleId="310">
    <w:name w:val="文字 Char Char"/>
    <w:link w:val="311"/>
    <w:autoRedefine/>
    <w:qFormat/>
    <w:uiPriority w:val="0"/>
    <w:rPr>
      <w:rFonts w:ascii="宋体" w:hAnsi="宋体"/>
      <w:sz w:val="28"/>
    </w:rPr>
  </w:style>
  <w:style w:type="paragraph" w:customStyle="1" w:styleId="311">
    <w:name w:val="文字"/>
    <w:basedOn w:val="1"/>
    <w:link w:val="310"/>
    <w:autoRedefine/>
    <w:qFormat/>
    <w:uiPriority w:val="0"/>
    <w:pPr>
      <w:tabs>
        <w:tab w:val="left" w:pos="8520"/>
      </w:tabs>
      <w:spacing w:line="312" w:lineRule="auto"/>
      <w:ind w:right="-210" w:firstLine="556"/>
    </w:pPr>
    <w:rPr>
      <w:rFonts w:ascii="宋体" w:hAnsi="宋体"/>
      <w:kern w:val="0"/>
      <w:sz w:val="28"/>
      <w:szCs w:val="20"/>
    </w:rPr>
  </w:style>
  <w:style w:type="character" w:customStyle="1" w:styleId="312">
    <w:name w:val="正文文本 Char1"/>
    <w:autoRedefine/>
    <w:qFormat/>
    <w:uiPriority w:val="0"/>
    <w:rPr>
      <w:rFonts w:ascii="宋体" w:hAnsi="宋体"/>
      <w:sz w:val="24"/>
      <w:szCs w:val="24"/>
    </w:rPr>
  </w:style>
  <w:style w:type="character" w:customStyle="1" w:styleId="313">
    <w:name w:val="ca-1"/>
    <w:autoRedefine/>
    <w:qFormat/>
    <w:uiPriority w:val="0"/>
  </w:style>
  <w:style w:type="character" w:customStyle="1" w:styleId="314">
    <w:name w:val="正文（绿盟科技） Char"/>
    <w:link w:val="315"/>
    <w:autoRedefine/>
    <w:qFormat/>
    <w:locked/>
    <w:uiPriority w:val="0"/>
    <w:rPr>
      <w:rFonts w:ascii="Arial" w:hAnsi="Arial"/>
    </w:rPr>
  </w:style>
  <w:style w:type="paragraph" w:customStyle="1" w:styleId="315">
    <w:name w:val="正文（绿盟科技）"/>
    <w:link w:val="314"/>
    <w:autoRedefine/>
    <w:qFormat/>
    <w:uiPriority w:val="0"/>
    <w:pPr>
      <w:spacing w:line="300" w:lineRule="auto"/>
    </w:pPr>
    <w:rPr>
      <w:rFonts w:ascii="Arial" w:hAnsi="Arial" w:eastAsia="宋体" w:cs="Times New Roman"/>
      <w:lang w:val="en-US" w:eastAsia="zh-CN" w:bidi="ar-SA"/>
    </w:rPr>
  </w:style>
  <w:style w:type="character" w:customStyle="1" w:styleId="316">
    <w:name w:val="prodname1"/>
    <w:autoRedefine/>
    <w:qFormat/>
    <w:uiPriority w:val="0"/>
    <w:rPr>
      <w:b/>
      <w:bCs/>
      <w:color w:val="347CA9"/>
      <w:sz w:val="17"/>
      <w:szCs w:val="17"/>
    </w:rPr>
  </w:style>
  <w:style w:type="character" w:customStyle="1" w:styleId="317">
    <w:name w:val="标准文本 Char"/>
    <w:link w:val="318"/>
    <w:autoRedefine/>
    <w:qFormat/>
    <w:uiPriority w:val="0"/>
    <w:rPr>
      <w:kern w:val="2"/>
      <w:sz w:val="24"/>
    </w:rPr>
  </w:style>
  <w:style w:type="paragraph" w:customStyle="1" w:styleId="318">
    <w:name w:val="标准文本"/>
    <w:link w:val="317"/>
    <w:autoRedefine/>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319">
    <w:name w:val="正文符号1 Char"/>
    <w:link w:val="320"/>
    <w:autoRedefine/>
    <w:qFormat/>
    <w:uiPriority w:val="0"/>
    <w:rPr>
      <w:rFonts w:eastAsia="楷体_GB2312"/>
      <w:sz w:val="28"/>
      <w:szCs w:val="24"/>
    </w:rPr>
  </w:style>
  <w:style w:type="paragraph" w:customStyle="1" w:styleId="320">
    <w:name w:val="正文符号1"/>
    <w:basedOn w:val="321"/>
    <w:link w:val="319"/>
    <w:autoRedefine/>
    <w:qFormat/>
    <w:uiPriority w:val="0"/>
    <w:pPr>
      <w:numPr>
        <w:ilvl w:val="0"/>
        <w:numId w:val="8"/>
      </w:numPr>
      <w:ind w:firstLine="0" w:firstLineChars="0"/>
    </w:pPr>
  </w:style>
  <w:style w:type="paragraph" w:customStyle="1" w:styleId="321">
    <w:name w:val="正文首行缩进2字"/>
    <w:basedOn w:val="1"/>
    <w:link w:val="336"/>
    <w:autoRedefine/>
    <w:qFormat/>
    <w:uiPriority w:val="0"/>
    <w:pPr>
      <w:ind w:firstLine="560" w:firstLineChars="200"/>
    </w:pPr>
    <w:rPr>
      <w:rFonts w:eastAsia="楷体_GB2312"/>
      <w:kern w:val="0"/>
      <w:sz w:val="28"/>
    </w:rPr>
  </w:style>
  <w:style w:type="character" w:customStyle="1" w:styleId="322">
    <w:name w:val="样式1 Char Char"/>
    <w:link w:val="323"/>
    <w:autoRedefine/>
    <w:qFormat/>
    <w:uiPriority w:val="0"/>
    <w:rPr>
      <w:rFonts w:eastAsia="仿宋_GB2312"/>
      <w:spacing w:val="-6"/>
      <w:sz w:val="32"/>
      <w:szCs w:val="24"/>
    </w:rPr>
  </w:style>
  <w:style w:type="paragraph" w:customStyle="1" w:styleId="323">
    <w:name w:val="样式1"/>
    <w:basedOn w:val="1"/>
    <w:link w:val="322"/>
    <w:autoRedefine/>
    <w:qFormat/>
    <w:uiPriority w:val="0"/>
    <w:pPr>
      <w:spacing w:line="340" w:lineRule="auto"/>
    </w:pPr>
    <w:rPr>
      <w:rFonts w:eastAsia="仿宋_GB2312"/>
      <w:spacing w:val="-6"/>
      <w:kern w:val="0"/>
      <w:sz w:val="32"/>
    </w:rPr>
  </w:style>
  <w:style w:type="character" w:customStyle="1" w:styleId="324">
    <w:name w:val="标书正文格式 Char Char"/>
    <w:autoRedefine/>
    <w:qFormat/>
    <w:uiPriority w:val="0"/>
    <w:rPr>
      <w:rFonts w:eastAsia="楷体_GB2312"/>
      <w:sz w:val="24"/>
      <w:szCs w:val="24"/>
      <w:lang w:bidi="ar-SA"/>
    </w:rPr>
  </w:style>
  <w:style w:type="character" w:customStyle="1" w:styleId="325">
    <w:name w:val="fonta1"/>
    <w:autoRedefine/>
    <w:qFormat/>
    <w:uiPriority w:val="0"/>
    <w:rPr>
      <w:rFonts w:hint="default"/>
      <w:sz w:val="30"/>
    </w:rPr>
  </w:style>
  <w:style w:type="character" w:customStyle="1" w:styleId="326">
    <w:name w:val="style3"/>
    <w:autoRedefine/>
    <w:qFormat/>
    <w:uiPriority w:val="0"/>
  </w:style>
  <w:style w:type="character" w:customStyle="1" w:styleId="327">
    <w:name w:val="Footer Char"/>
    <w:autoRedefine/>
    <w:qFormat/>
    <w:locked/>
    <w:uiPriority w:val="0"/>
    <w:rPr>
      <w:rFonts w:cs="Times New Roman"/>
      <w:kern w:val="2"/>
      <w:sz w:val="18"/>
      <w:szCs w:val="18"/>
    </w:rPr>
  </w:style>
  <w:style w:type="character" w:customStyle="1" w:styleId="328">
    <w:name w:val="签名 Char1"/>
    <w:autoRedefine/>
    <w:qFormat/>
    <w:uiPriority w:val="0"/>
    <w:rPr>
      <w:rFonts w:ascii="Times New Roman" w:hAnsi="Times New Roman" w:eastAsia="宋体" w:cs="Times New Roman"/>
      <w:szCs w:val="24"/>
    </w:rPr>
  </w:style>
  <w:style w:type="character" w:customStyle="1" w:styleId="329">
    <w:name w:val="unnamed21"/>
    <w:autoRedefine/>
    <w:qFormat/>
    <w:uiPriority w:val="0"/>
    <w:rPr>
      <w:rFonts w:hint="eastAsia" w:ascii="宋体" w:hAnsi="宋体" w:eastAsia="宋体"/>
      <w:sz w:val="24"/>
      <w:szCs w:val="24"/>
    </w:rPr>
  </w:style>
  <w:style w:type="character" w:customStyle="1" w:styleId="330">
    <w:name w:val="st1"/>
    <w:autoRedefine/>
    <w:qFormat/>
    <w:uiPriority w:val="0"/>
  </w:style>
  <w:style w:type="character" w:customStyle="1" w:styleId="331">
    <w:name w:val="正文_标准 Char Char"/>
    <w:link w:val="332"/>
    <w:autoRedefine/>
    <w:qFormat/>
    <w:uiPriority w:val="0"/>
    <w:rPr>
      <w:rFonts w:ascii="宋体" w:hAnsi="宋体"/>
      <w:sz w:val="24"/>
    </w:rPr>
  </w:style>
  <w:style w:type="paragraph" w:customStyle="1" w:styleId="332">
    <w:name w:val="正文_标准"/>
    <w:basedOn w:val="1"/>
    <w:link w:val="331"/>
    <w:autoRedefine/>
    <w:qFormat/>
    <w:uiPriority w:val="0"/>
    <w:pPr>
      <w:spacing w:line="360" w:lineRule="auto"/>
      <w:ind w:firstLine="480" w:firstLineChars="200"/>
    </w:pPr>
    <w:rPr>
      <w:rFonts w:ascii="宋体" w:hAnsi="宋体"/>
      <w:kern w:val="0"/>
      <w:sz w:val="24"/>
      <w:szCs w:val="20"/>
    </w:rPr>
  </w:style>
  <w:style w:type="character" w:customStyle="1" w:styleId="333">
    <w:name w:val="标书正文 Char Char"/>
    <w:link w:val="334"/>
    <w:autoRedefine/>
    <w:qFormat/>
    <w:uiPriority w:val="0"/>
    <w:rPr>
      <w:spacing w:val="1"/>
      <w:sz w:val="24"/>
      <w:szCs w:val="24"/>
    </w:rPr>
  </w:style>
  <w:style w:type="paragraph" w:customStyle="1" w:styleId="334">
    <w:name w:val="标书正文"/>
    <w:basedOn w:val="1"/>
    <w:link w:val="333"/>
    <w:autoRedefine/>
    <w:qFormat/>
    <w:uiPriority w:val="0"/>
    <w:pPr>
      <w:spacing w:line="360" w:lineRule="auto"/>
      <w:ind w:firstLine="200" w:firstLineChars="200"/>
    </w:pPr>
    <w:rPr>
      <w:spacing w:val="1"/>
      <w:kern w:val="0"/>
      <w:sz w:val="24"/>
    </w:rPr>
  </w:style>
  <w:style w:type="character" w:customStyle="1" w:styleId="335">
    <w:name w:val="文档结构图 Char1"/>
    <w:autoRedefine/>
    <w:semiHidden/>
    <w:qFormat/>
    <w:uiPriority w:val="99"/>
    <w:rPr>
      <w:rFonts w:ascii="宋体"/>
      <w:sz w:val="18"/>
      <w:szCs w:val="18"/>
    </w:rPr>
  </w:style>
  <w:style w:type="character" w:customStyle="1" w:styleId="336">
    <w:name w:val="正文首行缩进2字 Char"/>
    <w:link w:val="321"/>
    <w:autoRedefine/>
    <w:qFormat/>
    <w:uiPriority w:val="0"/>
    <w:rPr>
      <w:rFonts w:eastAsia="楷体_GB2312"/>
      <w:sz w:val="28"/>
      <w:szCs w:val="24"/>
    </w:rPr>
  </w:style>
  <w:style w:type="character" w:customStyle="1" w:styleId="337">
    <w:name w:val="正文new Char Char"/>
    <w:link w:val="338"/>
    <w:autoRedefine/>
    <w:qFormat/>
    <w:uiPriority w:val="0"/>
    <w:rPr>
      <w:rFonts w:cs="宋体"/>
      <w:kern w:val="21"/>
      <w:sz w:val="24"/>
    </w:rPr>
  </w:style>
  <w:style w:type="paragraph" w:customStyle="1" w:styleId="338">
    <w:name w:val="正文new"/>
    <w:basedOn w:val="1"/>
    <w:link w:val="337"/>
    <w:autoRedefine/>
    <w:qFormat/>
    <w:uiPriority w:val="0"/>
    <w:pPr>
      <w:spacing w:beforeLines="50" w:afterLines="50" w:line="300" w:lineRule="auto"/>
      <w:ind w:firstLine="200" w:firstLineChars="200"/>
    </w:pPr>
    <w:rPr>
      <w:rFonts w:cs="宋体"/>
      <w:kern w:val="21"/>
      <w:sz w:val="24"/>
      <w:szCs w:val="20"/>
    </w:rPr>
  </w:style>
  <w:style w:type="character" w:customStyle="1" w:styleId="339">
    <w:name w:val="签名 Char"/>
    <w:link w:val="34"/>
    <w:autoRedefine/>
    <w:qFormat/>
    <w:uiPriority w:val="0"/>
    <w:rPr>
      <w:rFonts w:ascii="Tahoma" w:hAnsi="Tahoma" w:cs="Tahoma"/>
      <w:sz w:val="24"/>
      <w:lang w:val="de-DE" w:eastAsia="de-DE"/>
    </w:rPr>
  </w:style>
  <w:style w:type="character" w:customStyle="1" w:styleId="340">
    <w:name w:val="文档结构图 Char2"/>
    <w:basedOn w:val="54"/>
    <w:autoRedefine/>
    <w:semiHidden/>
    <w:qFormat/>
    <w:uiPriority w:val="99"/>
    <w:rPr>
      <w:rFonts w:ascii="Microsoft YaHei UI" w:hAnsi="Times New Roman" w:eastAsia="Microsoft YaHei UI"/>
      <w:kern w:val="2"/>
      <w:sz w:val="18"/>
      <w:szCs w:val="18"/>
    </w:rPr>
  </w:style>
  <w:style w:type="character" w:customStyle="1" w:styleId="341">
    <w:name w:val="正文文本 3 Char1"/>
    <w:basedOn w:val="54"/>
    <w:autoRedefine/>
    <w:semiHidden/>
    <w:qFormat/>
    <w:uiPriority w:val="99"/>
    <w:rPr>
      <w:rFonts w:ascii="Times New Roman" w:hAnsi="Times New Roman"/>
      <w:kern w:val="2"/>
      <w:sz w:val="16"/>
      <w:szCs w:val="16"/>
    </w:rPr>
  </w:style>
  <w:style w:type="character" w:customStyle="1" w:styleId="342">
    <w:name w:val="正文文本缩进 2 Char1"/>
    <w:basedOn w:val="54"/>
    <w:autoRedefine/>
    <w:semiHidden/>
    <w:qFormat/>
    <w:uiPriority w:val="99"/>
    <w:rPr>
      <w:rFonts w:ascii="Times New Roman" w:hAnsi="Times New Roman"/>
      <w:kern w:val="2"/>
      <w:sz w:val="21"/>
      <w:szCs w:val="24"/>
    </w:rPr>
  </w:style>
  <w:style w:type="character" w:customStyle="1" w:styleId="343">
    <w:name w:val="正文文本 Char2"/>
    <w:basedOn w:val="54"/>
    <w:autoRedefine/>
    <w:semiHidden/>
    <w:qFormat/>
    <w:uiPriority w:val="0"/>
    <w:rPr>
      <w:rFonts w:ascii="Times New Roman" w:hAnsi="Times New Roman"/>
      <w:kern w:val="2"/>
      <w:sz w:val="21"/>
      <w:szCs w:val="24"/>
    </w:rPr>
  </w:style>
  <w:style w:type="character" w:customStyle="1" w:styleId="344">
    <w:name w:val="批注主题 Char1"/>
    <w:basedOn w:val="75"/>
    <w:autoRedefine/>
    <w:semiHidden/>
    <w:qFormat/>
    <w:uiPriority w:val="99"/>
    <w:rPr>
      <w:rFonts w:ascii="Times New Roman" w:hAnsi="Times New Roman"/>
      <w:b/>
      <w:bCs/>
      <w:kern w:val="2"/>
      <w:sz w:val="21"/>
      <w:szCs w:val="24"/>
    </w:rPr>
  </w:style>
  <w:style w:type="character" w:customStyle="1" w:styleId="345">
    <w:name w:val="正文文本 2 Char1"/>
    <w:basedOn w:val="54"/>
    <w:autoRedefine/>
    <w:semiHidden/>
    <w:qFormat/>
    <w:uiPriority w:val="99"/>
    <w:rPr>
      <w:kern w:val="2"/>
      <w:sz w:val="21"/>
      <w:szCs w:val="24"/>
    </w:rPr>
  </w:style>
  <w:style w:type="character" w:customStyle="1" w:styleId="346">
    <w:name w:val="页眉 Char2"/>
    <w:basedOn w:val="54"/>
    <w:autoRedefine/>
    <w:semiHidden/>
    <w:qFormat/>
    <w:uiPriority w:val="99"/>
    <w:rPr>
      <w:rFonts w:ascii="Times New Roman" w:hAnsi="Times New Roman"/>
      <w:kern w:val="2"/>
      <w:sz w:val="18"/>
      <w:szCs w:val="18"/>
    </w:rPr>
  </w:style>
  <w:style w:type="paragraph" w:customStyle="1" w:styleId="347">
    <w:name w:val="列出段落12"/>
    <w:basedOn w:val="1"/>
    <w:autoRedefine/>
    <w:qFormat/>
    <w:uiPriority w:val="0"/>
    <w:pPr>
      <w:ind w:firstLine="420" w:firstLineChars="200"/>
    </w:pPr>
    <w:rPr>
      <w:rFonts w:ascii="Calibri" w:hAnsi="Calibri" w:cs="Calibri"/>
      <w:szCs w:val="21"/>
    </w:rPr>
  </w:style>
  <w:style w:type="paragraph" w:customStyle="1" w:styleId="348">
    <w:name w:val="表格正文"/>
    <w:basedOn w:val="1"/>
    <w:autoRedefine/>
    <w:qFormat/>
    <w:uiPriority w:val="0"/>
    <w:pPr>
      <w:spacing w:line="360" w:lineRule="atLeast"/>
      <w:textAlignment w:val="baseline"/>
    </w:pPr>
  </w:style>
  <w:style w:type="paragraph" w:customStyle="1" w:styleId="349">
    <w:name w:val="Char Char"/>
    <w:basedOn w:val="16"/>
    <w:autoRedefine/>
    <w:qFormat/>
    <w:uiPriority w:val="0"/>
    <w:pPr>
      <w:tabs>
        <w:tab w:val="left" w:pos="820"/>
      </w:tabs>
      <w:ind w:left="820" w:hanging="420"/>
    </w:pPr>
    <w:rPr>
      <w:rFonts w:ascii="Tahoma" w:hAnsi="Tahoma"/>
      <w:kern w:val="0"/>
      <w:sz w:val="24"/>
      <w:shd w:val="clear" w:color="auto" w:fill="000080"/>
    </w:rPr>
  </w:style>
  <w:style w:type="paragraph" w:customStyle="1" w:styleId="350">
    <w:name w:val="Í¼±íÕýÎÄ"/>
    <w:basedOn w:val="1"/>
    <w:next w:val="5"/>
    <w:autoRedefine/>
    <w:qFormat/>
    <w:uiPriority w:val="0"/>
    <w:pPr>
      <w:ind w:firstLine="420" w:firstLineChars="200"/>
    </w:pPr>
    <w:rPr>
      <w:sz w:val="24"/>
      <w:szCs w:val="20"/>
    </w:rPr>
  </w:style>
  <w:style w:type="character" w:customStyle="1" w:styleId="351">
    <w:name w:val="正文首行缩进 2 Char1"/>
    <w:basedOn w:val="78"/>
    <w:autoRedefine/>
    <w:semiHidden/>
    <w:qFormat/>
    <w:uiPriority w:val="99"/>
    <w:rPr>
      <w:rFonts w:eastAsia="宋体"/>
      <w:kern w:val="2"/>
      <w:sz w:val="21"/>
      <w:szCs w:val="24"/>
      <w:lang w:val="en-US" w:eastAsia="zh-CN" w:bidi="ar-SA"/>
    </w:rPr>
  </w:style>
  <w:style w:type="character" w:customStyle="1" w:styleId="352">
    <w:name w:val="签名 Char2"/>
    <w:basedOn w:val="54"/>
    <w:autoRedefine/>
    <w:semiHidden/>
    <w:qFormat/>
    <w:uiPriority w:val="99"/>
    <w:rPr>
      <w:kern w:val="2"/>
      <w:sz w:val="21"/>
      <w:szCs w:val="24"/>
    </w:rPr>
  </w:style>
  <w:style w:type="character" w:customStyle="1" w:styleId="353">
    <w:name w:val="页脚 Char2"/>
    <w:basedOn w:val="54"/>
    <w:autoRedefine/>
    <w:semiHidden/>
    <w:qFormat/>
    <w:uiPriority w:val="99"/>
    <w:rPr>
      <w:rFonts w:ascii="Times New Roman" w:hAnsi="Times New Roman"/>
      <w:kern w:val="2"/>
      <w:sz w:val="18"/>
      <w:szCs w:val="18"/>
    </w:rPr>
  </w:style>
  <w:style w:type="character" w:customStyle="1" w:styleId="354">
    <w:name w:val="正文文本缩进 3 Char1"/>
    <w:basedOn w:val="54"/>
    <w:autoRedefine/>
    <w:semiHidden/>
    <w:qFormat/>
    <w:uiPriority w:val="99"/>
    <w:rPr>
      <w:rFonts w:ascii="Times New Roman" w:hAnsi="Times New Roman"/>
      <w:kern w:val="2"/>
      <w:sz w:val="16"/>
      <w:szCs w:val="16"/>
    </w:rPr>
  </w:style>
  <w:style w:type="character" w:customStyle="1" w:styleId="355">
    <w:name w:val="日期 Char1"/>
    <w:basedOn w:val="54"/>
    <w:autoRedefine/>
    <w:semiHidden/>
    <w:qFormat/>
    <w:uiPriority w:val="99"/>
    <w:rPr>
      <w:rFonts w:ascii="Times New Roman" w:hAnsi="Times New Roman"/>
      <w:kern w:val="2"/>
      <w:sz w:val="21"/>
      <w:szCs w:val="24"/>
    </w:rPr>
  </w:style>
  <w:style w:type="character" w:customStyle="1" w:styleId="356">
    <w:name w:val="正文首行缩进 Char1"/>
    <w:basedOn w:val="343"/>
    <w:autoRedefine/>
    <w:semiHidden/>
    <w:qFormat/>
    <w:uiPriority w:val="99"/>
    <w:rPr>
      <w:rFonts w:ascii="Times New Roman" w:hAnsi="Times New Roman"/>
      <w:kern w:val="2"/>
      <w:sz w:val="21"/>
      <w:szCs w:val="24"/>
    </w:rPr>
  </w:style>
  <w:style w:type="character" w:customStyle="1" w:styleId="357">
    <w:name w:val="批注框文本 Char1"/>
    <w:basedOn w:val="54"/>
    <w:autoRedefine/>
    <w:semiHidden/>
    <w:qFormat/>
    <w:uiPriority w:val="99"/>
    <w:rPr>
      <w:rFonts w:ascii="Times New Roman" w:hAnsi="Times New Roman"/>
      <w:kern w:val="2"/>
      <w:sz w:val="18"/>
      <w:szCs w:val="18"/>
    </w:rPr>
  </w:style>
  <w:style w:type="paragraph" w:customStyle="1" w:styleId="358">
    <w:name w:val="样式"/>
    <w:basedOn w:val="1"/>
    <w:next w:val="1"/>
    <w:autoRedefine/>
    <w:qFormat/>
    <w:uiPriority w:val="0"/>
    <w:pPr>
      <w:tabs>
        <w:tab w:val="left" w:pos="1258"/>
      </w:tabs>
      <w:spacing w:line="360" w:lineRule="auto"/>
      <w:ind w:left="1258" w:hanging="1258"/>
      <w:outlineLvl w:val="2"/>
    </w:pPr>
    <w:rPr>
      <w:rFonts w:ascii="Arial" w:hAnsi="Arial" w:cs="Arial"/>
      <w:sz w:val="28"/>
      <w:szCs w:val="28"/>
    </w:rPr>
  </w:style>
  <w:style w:type="paragraph" w:customStyle="1" w:styleId="359">
    <w:name w:val="正文 居中"/>
    <w:basedOn w:val="1"/>
    <w:autoRedefine/>
    <w:qFormat/>
    <w:uiPriority w:val="0"/>
    <w:pPr>
      <w:spacing w:line="360" w:lineRule="auto"/>
      <w:jc w:val="center"/>
    </w:pPr>
    <w:rPr>
      <w:sz w:val="24"/>
      <w:szCs w:val="20"/>
    </w:rPr>
  </w:style>
  <w:style w:type="paragraph" w:customStyle="1" w:styleId="360">
    <w:name w:val="xl9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61">
    <w:name w:val="项目编号（3）"/>
    <w:basedOn w:val="1"/>
    <w:autoRedefine/>
    <w:qFormat/>
    <w:uiPriority w:val="0"/>
    <w:pPr>
      <w:tabs>
        <w:tab w:val="left" w:pos="1795"/>
      </w:tabs>
      <w:spacing w:beforeLines="50" w:afterLines="50" w:line="300" w:lineRule="auto"/>
      <w:ind w:left="1795" w:hanging="535"/>
    </w:pPr>
    <w:rPr>
      <w:rFonts w:cs="宋体"/>
      <w:kern w:val="21"/>
      <w:sz w:val="24"/>
      <w:szCs w:val="20"/>
    </w:rPr>
  </w:style>
  <w:style w:type="paragraph" w:customStyle="1" w:styleId="36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63">
    <w:name w:val="HPC正文"/>
    <w:basedOn w:val="1"/>
    <w:autoRedefine/>
    <w:qFormat/>
    <w:uiPriority w:val="0"/>
    <w:pPr>
      <w:spacing w:line="360" w:lineRule="auto"/>
      <w:ind w:firstLine="424" w:firstLineChars="202"/>
    </w:pPr>
    <w:rPr>
      <w:sz w:val="24"/>
    </w:rPr>
  </w:style>
  <w:style w:type="paragraph" w:customStyle="1" w:styleId="364">
    <w:name w:val="xl132"/>
    <w:basedOn w:val="1"/>
    <w:autoRedefine/>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36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36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36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368">
    <w:name w:val="A1.宋体小四→首行缩进"/>
    <w:basedOn w:val="1"/>
    <w:autoRedefine/>
    <w:qFormat/>
    <w:uiPriority w:val="0"/>
    <w:pPr>
      <w:spacing w:before="60" w:after="60" w:line="360" w:lineRule="auto"/>
      <w:ind w:firstLine="480" w:firstLineChars="200"/>
    </w:pPr>
    <w:rPr>
      <w:rFonts w:cs="宋体"/>
      <w:kern w:val="24"/>
      <w:sz w:val="24"/>
      <w:szCs w:val="20"/>
    </w:rPr>
  </w:style>
  <w:style w:type="paragraph" w:customStyle="1" w:styleId="369">
    <w:name w:val="xl71"/>
    <w:basedOn w:val="1"/>
    <w:autoRedefine/>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70">
    <w:name w:val="xl69"/>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71">
    <w:name w:val="xl13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372">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73">
    <w:name w:val="A2.宋体小四→编号一级"/>
    <w:basedOn w:val="1"/>
    <w:autoRedefine/>
    <w:qFormat/>
    <w:uiPriority w:val="0"/>
    <w:pPr>
      <w:spacing w:before="60" w:after="60" w:line="360" w:lineRule="auto"/>
    </w:pPr>
    <w:rPr>
      <w:kern w:val="24"/>
      <w:sz w:val="24"/>
    </w:rPr>
  </w:style>
  <w:style w:type="paragraph" w:customStyle="1" w:styleId="374">
    <w:name w:val="xl72"/>
    <w:basedOn w:val="1"/>
    <w:autoRedefine/>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75">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6">
    <w:name w:val="表格文字1"/>
    <w:basedOn w:val="1"/>
    <w:autoRedefine/>
    <w:qFormat/>
    <w:uiPriority w:val="0"/>
    <w:pPr>
      <w:spacing w:line="360" w:lineRule="auto"/>
      <w:jc w:val="center"/>
    </w:pPr>
    <w:rPr>
      <w:rFonts w:ascii="宋体"/>
      <w:b/>
      <w:bCs/>
      <w:sz w:val="24"/>
    </w:rPr>
  </w:style>
  <w:style w:type="paragraph" w:customStyle="1" w:styleId="377">
    <w:name w:val="xl141"/>
    <w:basedOn w:val="1"/>
    <w:autoRedefine/>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78">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379">
    <w:name w:val="xl64"/>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80">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81">
    <w:name w:val="xl73"/>
    <w:basedOn w:val="1"/>
    <w:autoRedefine/>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2">
    <w:name w:val="xl83"/>
    <w:basedOn w:val="1"/>
    <w:autoRedefine/>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83">
    <w:name w:val="xl86"/>
    <w:basedOn w:val="1"/>
    <w:autoRedefine/>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384">
    <w:name w:val="xl8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385">
    <w:name w:val="xl91"/>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8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87">
    <w:name w:val="xl74"/>
    <w:basedOn w:val="1"/>
    <w:autoRedefine/>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3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389">
    <w:name w:val="4 Char"/>
    <w:basedOn w:val="1"/>
    <w:autoRedefine/>
    <w:qFormat/>
    <w:uiPriority w:val="0"/>
    <w:rPr>
      <w:sz w:val="30"/>
    </w:rPr>
  </w:style>
  <w:style w:type="paragraph" w:customStyle="1" w:styleId="39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9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392">
    <w:name w:val="xl84"/>
    <w:basedOn w:val="1"/>
    <w:autoRedefine/>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39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394">
    <w:name w:val="xl80"/>
    <w:basedOn w:val="1"/>
    <w:autoRedefine/>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95">
    <w:name w:val="Char Char1 Char Char Char Char1 Char Char Char"/>
    <w:basedOn w:val="1"/>
    <w:autoRedefine/>
    <w:qFormat/>
    <w:uiPriority w:val="0"/>
    <w:rPr>
      <w:szCs w:val="20"/>
    </w:rPr>
  </w:style>
  <w:style w:type="paragraph" w:customStyle="1" w:styleId="396">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97">
    <w:name w:val="样式 样式 标题 4 + (中文) 仿宋_GB2312 段前: 24 磅 段后: 0 磅 行距: 固定值 22 磅 + 段后: ..."/>
    <w:basedOn w:val="1"/>
    <w:autoRedefine/>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398">
    <w:name w:val="_Style 147"/>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40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401">
    <w:name w:val="xl90"/>
    <w:basedOn w:val="1"/>
    <w:autoRedefine/>
    <w:qFormat/>
    <w:uiPriority w:val="0"/>
    <w:pPr>
      <w:widowControl/>
      <w:spacing w:before="100" w:beforeAutospacing="1" w:after="100" w:afterAutospacing="1"/>
      <w:jc w:val="left"/>
      <w:textAlignment w:val="center"/>
    </w:pPr>
    <w:rPr>
      <w:b/>
      <w:bCs/>
      <w:kern w:val="0"/>
      <w:sz w:val="24"/>
    </w:rPr>
  </w:style>
  <w:style w:type="paragraph" w:customStyle="1" w:styleId="402">
    <w:name w:val="xl13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403">
    <w:name w:val="xl65"/>
    <w:basedOn w:val="1"/>
    <w:autoRedefine/>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404">
    <w:name w:val="font10"/>
    <w:basedOn w:val="1"/>
    <w:autoRedefine/>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405">
    <w:name w:val="xl8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406">
    <w:name w:val="样式 正文小四缩进两字符"/>
    <w:basedOn w:val="1"/>
    <w:autoRedefine/>
    <w:qFormat/>
    <w:uiPriority w:val="0"/>
    <w:pPr>
      <w:spacing w:line="360" w:lineRule="auto"/>
      <w:ind w:firstLine="480" w:firstLineChars="200"/>
    </w:pPr>
    <w:rPr>
      <w:rFonts w:ascii="Arial" w:hAnsi="Arial"/>
      <w:sz w:val="24"/>
    </w:rPr>
  </w:style>
  <w:style w:type="paragraph" w:customStyle="1" w:styleId="407">
    <w:name w:val="样式 标题 1标题"/>
    <w:basedOn w:val="3"/>
    <w:autoRedefine/>
    <w:qFormat/>
    <w:uiPriority w:val="0"/>
    <w:pPr>
      <w:keepNext w:val="0"/>
      <w:keepLines w:val="0"/>
      <w:tabs>
        <w:tab w:val="left" w:pos="1571"/>
      </w:tabs>
      <w:autoSpaceDE/>
      <w:autoSpaceDN/>
      <w:adjustRightInd/>
      <w:spacing w:before="0" w:after="0" w:afterLines="100" w:line="400" w:lineRule="exact"/>
      <w:ind w:firstLine="562"/>
    </w:pPr>
    <w:rPr>
      <w:rFonts w:hAnsi="宋体" w:eastAsia="黑体" w:cs="宋体"/>
      <w:bCs/>
      <w:spacing w:val="10"/>
      <w:kern w:val="2"/>
      <w:lang w:val="zh-CN" w:eastAsia="zh-CN"/>
    </w:rPr>
  </w:style>
  <w:style w:type="paragraph" w:customStyle="1" w:styleId="408">
    <w:name w:val="Revision"/>
    <w:autoRedefine/>
    <w:semiHidden/>
    <w:qFormat/>
    <w:uiPriority w:val="99"/>
    <w:rPr>
      <w:rFonts w:ascii="Times New Roman" w:hAnsi="Times New Roman" w:eastAsia="宋体" w:cs="Times New Roman"/>
      <w:kern w:val="2"/>
      <w:sz w:val="21"/>
      <w:szCs w:val="24"/>
      <w:lang w:val="en-US" w:eastAsia="zh-CN" w:bidi="ar-SA"/>
    </w:rPr>
  </w:style>
  <w:style w:type="paragraph" w:customStyle="1" w:styleId="409">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410">
    <w:name w:val="xl124"/>
    <w:basedOn w:val="1"/>
    <w:autoRedefine/>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411">
    <w:name w:val="表项"/>
    <w:next w:val="1"/>
    <w:autoRedefine/>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412">
    <w:name w:val="xl142"/>
    <w:basedOn w:val="1"/>
    <w:autoRedefine/>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413">
    <w:name w:val="正文_3"/>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14">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415">
    <w:name w:val="xl66"/>
    <w:basedOn w:val="1"/>
    <w:autoRedefine/>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41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417">
    <w:name w:val="样式 标题 4sect 1.2.3.4h4第三层条bulletblbbH4Ref Heading 1rh1H..."/>
    <w:basedOn w:val="6"/>
    <w:next w:val="1"/>
    <w:autoRedefine/>
    <w:qFormat/>
    <w:uiPriority w:val="0"/>
    <w:pPr>
      <w:tabs>
        <w:tab w:val="left" w:pos="1080"/>
      </w:tabs>
      <w:adjustRightInd/>
      <w:spacing w:line="376" w:lineRule="auto"/>
      <w:ind w:left="851" w:hanging="851"/>
      <w:textAlignment w:val="auto"/>
    </w:pPr>
    <w:rPr>
      <w:bCs/>
      <w:kern w:val="4"/>
      <w:szCs w:val="28"/>
      <w:lang w:val="zh-CN" w:eastAsia="zh-CN"/>
    </w:rPr>
  </w:style>
  <w:style w:type="paragraph" w:customStyle="1" w:styleId="418">
    <w:name w:val="text"/>
    <w:basedOn w:val="1"/>
    <w:autoRedefine/>
    <w:qFormat/>
    <w:uiPriority w:val="0"/>
    <w:pPr>
      <w:widowControl/>
      <w:ind w:firstLine="630"/>
    </w:pPr>
    <w:rPr>
      <w:rFonts w:hint="eastAsia" w:ascii="仿宋体" w:eastAsia="仿宋体"/>
      <w:kern w:val="0"/>
      <w:sz w:val="24"/>
      <w:szCs w:val="20"/>
    </w:rPr>
  </w:style>
  <w:style w:type="paragraph" w:customStyle="1" w:styleId="419">
    <w:name w:val="样式 正文缩进文2ALT+Z表正文正文非缩进特点段1标题4特点 Char Char特点 Char Char C..."/>
    <w:basedOn w:val="5"/>
    <w:autoRedefine/>
    <w:qFormat/>
    <w:uiPriority w:val="0"/>
    <w:pPr>
      <w:autoSpaceDE/>
      <w:autoSpaceDN/>
      <w:adjustRightInd/>
      <w:spacing w:beforeLines="50" w:afterLines="50" w:line="360" w:lineRule="auto"/>
      <w:ind w:firstLine="480" w:firstLineChars="200"/>
      <w:jc w:val="both"/>
    </w:pPr>
    <w:rPr>
      <w:rFonts w:ascii="Times New Roman" w:eastAsia="仿宋_GB2312" w:cs="宋体"/>
      <w:szCs w:val="20"/>
    </w:rPr>
  </w:style>
  <w:style w:type="paragraph" w:customStyle="1" w:styleId="420">
    <w:name w:val="xl111"/>
    <w:basedOn w:val="1"/>
    <w:autoRedefine/>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4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422">
    <w:name w:val="Char Char 字元 字元 字元 Char Char Char Char"/>
    <w:basedOn w:val="1"/>
    <w:autoRedefine/>
    <w:qFormat/>
    <w:uiPriority w:val="0"/>
    <w:pPr>
      <w:adjustRightInd w:val="0"/>
      <w:spacing w:line="360" w:lineRule="auto"/>
    </w:pPr>
    <w:rPr>
      <w:kern w:val="0"/>
      <w:sz w:val="24"/>
    </w:rPr>
  </w:style>
  <w:style w:type="paragraph" w:customStyle="1" w:styleId="423">
    <w:name w:val="pa-2"/>
    <w:basedOn w:val="1"/>
    <w:autoRedefine/>
    <w:qFormat/>
    <w:uiPriority w:val="0"/>
    <w:pPr>
      <w:widowControl/>
      <w:spacing w:before="150" w:after="150"/>
      <w:jc w:val="left"/>
    </w:pPr>
    <w:rPr>
      <w:rFonts w:ascii="宋体" w:hAnsi="宋体" w:cs="宋体"/>
      <w:kern w:val="0"/>
      <w:sz w:val="24"/>
    </w:rPr>
  </w:style>
  <w:style w:type="paragraph" w:customStyle="1" w:styleId="424">
    <w:name w:val="xl6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42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426">
    <w:name w:val="Char Char5 Char Char"/>
    <w:basedOn w:val="1"/>
    <w:autoRedefine/>
    <w:qFormat/>
    <w:uiPriority w:val="0"/>
    <w:rPr>
      <w:sz w:val="30"/>
    </w:rPr>
  </w:style>
  <w:style w:type="paragraph" w:customStyle="1" w:styleId="427">
    <w:name w:val="方案正文"/>
    <w:basedOn w:val="1"/>
    <w:autoRedefine/>
    <w:qFormat/>
    <w:uiPriority w:val="0"/>
    <w:pPr>
      <w:spacing w:line="360" w:lineRule="auto"/>
    </w:pPr>
    <w:rPr>
      <w:sz w:val="24"/>
    </w:rPr>
  </w:style>
  <w:style w:type="paragraph" w:customStyle="1" w:styleId="428">
    <w:name w:val="xl63"/>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429">
    <w:name w:val="样式 (西文) 仿宋_GB2312 (中文) 仿宋_GB2312 (符号) 宋体 小四 行距: 1.5 倍行距 首行缩..."/>
    <w:basedOn w:val="1"/>
    <w:autoRedefine/>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430">
    <w:name w:val="xl136"/>
    <w:basedOn w:val="1"/>
    <w:autoRedefine/>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431">
    <w:name w:val="xl13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432">
    <w:name w:val="Char Char Char Char Char Char"/>
    <w:basedOn w:val="1"/>
    <w:autoRedefine/>
    <w:qFormat/>
    <w:uiPriority w:val="0"/>
    <w:rPr>
      <w:rFonts w:ascii="Tahoma" w:hAnsi="Tahoma"/>
      <w:sz w:val="24"/>
      <w:szCs w:val="20"/>
    </w:rPr>
  </w:style>
  <w:style w:type="paragraph" w:customStyle="1" w:styleId="4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434">
    <w:name w:val="xl139"/>
    <w:basedOn w:val="1"/>
    <w:autoRedefine/>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435">
    <w:name w:val="xl9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6">
    <w:name w:val="TOC Heading"/>
    <w:basedOn w:val="3"/>
    <w:next w:val="1"/>
    <w:autoRedefine/>
    <w:qFormat/>
    <w:uiPriority w:val="39"/>
    <w:pPr>
      <w:widowControl/>
      <w:tabs>
        <w:tab w:val="left" w:pos="1571"/>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37">
    <w:name w:val="xl7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43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439">
    <w:name w:val="xl1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440">
    <w:name w:val="表内容"/>
    <w:basedOn w:val="1"/>
    <w:autoRedefine/>
    <w:qFormat/>
    <w:uiPriority w:val="0"/>
    <w:pPr>
      <w:widowControl/>
    </w:pPr>
    <w:rPr>
      <w:snapToGrid w:val="0"/>
      <w:kern w:val="0"/>
      <w:sz w:val="20"/>
    </w:rPr>
  </w:style>
  <w:style w:type="paragraph" w:customStyle="1" w:styleId="441">
    <w:name w:val="默认段落字体 Para Char Char Char Char Char Char Char Char Char1 Char"/>
    <w:basedOn w:val="1"/>
    <w:autoRedefine/>
    <w:qFormat/>
    <w:uiPriority w:val="0"/>
    <w:rPr>
      <w:rFonts w:ascii="Tahoma" w:hAnsi="Tahoma"/>
      <w:sz w:val="24"/>
      <w:szCs w:val="20"/>
    </w:rPr>
  </w:style>
  <w:style w:type="paragraph" w:customStyle="1" w:styleId="442">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443">
    <w:name w:val="样式 段落缩进2 小四 + 段前: 15.6 磅"/>
    <w:basedOn w:val="1"/>
    <w:autoRedefine/>
    <w:qFormat/>
    <w:uiPriority w:val="0"/>
    <w:pPr>
      <w:spacing w:before="312" w:line="360" w:lineRule="auto"/>
      <w:ind w:firstLine="480" w:firstLineChars="200"/>
    </w:pPr>
    <w:rPr>
      <w:rFonts w:ascii="宋体" w:hAnsi="宋体"/>
      <w:sz w:val="24"/>
      <w:szCs w:val="20"/>
    </w:rPr>
  </w:style>
  <w:style w:type="paragraph" w:customStyle="1" w:styleId="444">
    <w:name w:val="正文2"/>
    <w:basedOn w:val="1"/>
    <w:autoRedefine/>
    <w:qFormat/>
    <w:uiPriority w:val="0"/>
    <w:pPr>
      <w:widowControl/>
      <w:spacing w:line="360" w:lineRule="auto"/>
    </w:pPr>
    <w:rPr>
      <w:rFonts w:hint="eastAsia" w:ascii="宋体"/>
      <w:kern w:val="16"/>
      <w:sz w:val="24"/>
      <w:szCs w:val="20"/>
    </w:rPr>
  </w:style>
  <w:style w:type="paragraph" w:customStyle="1" w:styleId="445">
    <w:name w:val="正文段"/>
    <w:basedOn w:val="1"/>
    <w:autoRedefine/>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44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表身（中）"/>
    <w:basedOn w:val="1"/>
    <w:autoRedefine/>
    <w:qFormat/>
    <w:uiPriority w:val="0"/>
    <w:pPr>
      <w:widowControl/>
      <w:adjustRightInd w:val="0"/>
      <w:snapToGrid w:val="0"/>
      <w:spacing w:line="300" w:lineRule="auto"/>
      <w:jc w:val="center"/>
      <w:textAlignment w:val="center"/>
    </w:pPr>
    <w:rPr>
      <w:kern w:val="0"/>
      <w:sz w:val="18"/>
      <w:szCs w:val="20"/>
    </w:rPr>
  </w:style>
  <w:style w:type="paragraph" w:customStyle="1" w:styleId="448">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449">
    <w:name w:val="正文符号4"/>
    <w:basedOn w:val="1"/>
    <w:autoRedefine/>
    <w:qFormat/>
    <w:uiPriority w:val="0"/>
    <w:pPr>
      <w:numPr>
        <w:ilvl w:val="1"/>
        <w:numId w:val="8"/>
      </w:numPr>
      <w:tabs>
        <w:tab w:val="left" w:pos="360"/>
        <w:tab w:val="clear" w:pos="1407"/>
      </w:tabs>
      <w:ind w:left="0" w:firstLine="0"/>
    </w:pPr>
    <w:rPr>
      <w:rFonts w:eastAsia="楷体_GB2312"/>
      <w:kern w:val="0"/>
      <w:sz w:val="28"/>
    </w:rPr>
  </w:style>
  <w:style w:type="paragraph" w:customStyle="1" w:styleId="450">
    <w:name w:val="7"/>
    <w:basedOn w:val="1"/>
    <w:next w:val="5"/>
    <w:autoRedefine/>
    <w:qFormat/>
    <w:uiPriority w:val="0"/>
    <w:pPr>
      <w:ind w:firstLine="420"/>
    </w:pPr>
    <w:rPr>
      <w:szCs w:val="20"/>
    </w:rPr>
  </w:style>
  <w:style w:type="paragraph" w:customStyle="1" w:styleId="45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45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3">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54">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455">
    <w:name w:val="表身（左）"/>
    <w:autoRedefine/>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456">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457">
    <w:name w:val="表文1"/>
    <w:basedOn w:val="1"/>
    <w:autoRedefine/>
    <w:qFormat/>
    <w:uiPriority w:val="0"/>
    <w:pPr>
      <w:widowControl/>
      <w:ind w:firstLine="773" w:firstLineChars="322"/>
    </w:pPr>
    <w:rPr>
      <w:rFonts w:ascii="宋体" w:hAnsi="宋体"/>
      <w:bCs/>
      <w:color w:val="000000"/>
      <w:kern w:val="0"/>
      <w:sz w:val="24"/>
      <w:szCs w:val="28"/>
    </w:rPr>
  </w:style>
  <w:style w:type="paragraph" w:customStyle="1" w:styleId="45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459">
    <w:name w:val="he"/>
    <w:basedOn w:val="1"/>
    <w:next w:val="1"/>
    <w:autoRedefine/>
    <w:qFormat/>
    <w:uiPriority w:val="0"/>
    <w:pPr>
      <w:keepNext/>
      <w:keepLines/>
      <w:tabs>
        <w:tab w:val="left" w:pos="1680"/>
      </w:tabs>
      <w:spacing w:line="360" w:lineRule="auto"/>
      <w:ind w:left="1680" w:hanging="420"/>
    </w:pPr>
    <w:rPr>
      <w:rFonts w:ascii="Arial" w:hAnsi="Arial" w:cs="Arial"/>
      <w:sz w:val="28"/>
      <w:szCs w:val="28"/>
    </w:rPr>
  </w:style>
  <w:style w:type="paragraph" w:customStyle="1" w:styleId="460">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461">
    <w:name w:val="xl7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46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46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464">
    <w:name w:val="南通方案正文"/>
    <w:basedOn w:val="1"/>
    <w:autoRedefine/>
    <w:qFormat/>
    <w:uiPriority w:val="0"/>
    <w:pPr>
      <w:spacing w:line="360" w:lineRule="auto"/>
      <w:ind w:firstLine="480" w:firstLineChars="200"/>
    </w:pPr>
    <w:rPr>
      <w:rFonts w:cs="宋体"/>
      <w:sz w:val="24"/>
      <w:szCs w:val="20"/>
    </w:rPr>
  </w:style>
  <w:style w:type="paragraph" w:customStyle="1" w:styleId="465">
    <w:name w:val="xl81"/>
    <w:basedOn w:val="1"/>
    <w:autoRedefine/>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466">
    <w:name w:val="xl82"/>
    <w:basedOn w:val="1"/>
    <w:autoRedefine/>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467">
    <w:name w:val="xl70"/>
    <w:basedOn w:val="1"/>
    <w:autoRedefine/>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68">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469">
    <w:name w:val="_Style 1"/>
    <w:basedOn w:val="1"/>
    <w:autoRedefine/>
    <w:qFormat/>
    <w:uiPriority w:val="34"/>
    <w:pPr>
      <w:ind w:firstLine="420" w:firstLineChars="200"/>
    </w:pPr>
    <w:rPr>
      <w:rFonts w:ascii="Calibri" w:hAnsi="Calibri"/>
    </w:rPr>
  </w:style>
  <w:style w:type="paragraph" w:customStyle="1" w:styleId="470">
    <w:name w:val="xl7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471">
    <w:name w:val="样式 标题 1H1h11st levelSection Headl11H11H12H13H14H15H1..."/>
    <w:basedOn w:val="3"/>
    <w:autoRedefine/>
    <w:qFormat/>
    <w:uiPriority w:val="0"/>
    <w:pPr>
      <w:numPr>
        <w:ilvl w:val="0"/>
        <w:numId w:val="9"/>
      </w:numPr>
      <w:tabs>
        <w:tab w:val="left" w:pos="1571"/>
      </w:tabs>
      <w:autoSpaceDE/>
      <w:autoSpaceDN/>
      <w:adjustRightInd/>
      <w:spacing w:before="50" w:beforeLines="100" w:after="0" w:afterLines="100" w:line="360" w:lineRule="auto"/>
      <w:jc w:val="left"/>
    </w:pPr>
    <w:rPr>
      <w:rFonts w:ascii="Calibri" w:hAnsi="Calibri" w:cs="宋体"/>
      <w:bCs/>
      <w:sz w:val="28"/>
      <w:szCs w:val="28"/>
    </w:rPr>
  </w:style>
  <w:style w:type="paragraph" w:customStyle="1" w:styleId="472">
    <w:name w:val="样式 样式2 + 宋体1"/>
    <w:basedOn w:val="1"/>
    <w:autoRedefine/>
    <w:qFormat/>
    <w:uiPriority w:val="0"/>
    <w:pPr>
      <w:ind w:right="210" w:rightChars="100"/>
      <w:jc w:val="center"/>
    </w:pPr>
    <w:rPr>
      <w:rFonts w:ascii="宋体" w:hAnsi="宋体"/>
      <w:b/>
      <w:sz w:val="20"/>
      <w:szCs w:val="21"/>
    </w:rPr>
  </w:style>
  <w:style w:type="paragraph" w:customStyle="1" w:styleId="473">
    <w:name w:val="p0"/>
    <w:basedOn w:val="1"/>
    <w:autoRedefine/>
    <w:qFormat/>
    <w:uiPriority w:val="0"/>
    <w:pPr>
      <w:widowControl/>
    </w:pPr>
    <w:rPr>
      <w:kern w:val="0"/>
      <w:szCs w:val="21"/>
    </w:rPr>
  </w:style>
  <w:style w:type="paragraph" w:customStyle="1" w:styleId="474">
    <w:name w:val="xl87"/>
    <w:basedOn w:val="1"/>
    <w:autoRedefine/>
    <w:qFormat/>
    <w:uiPriority w:val="0"/>
    <w:pPr>
      <w:widowControl/>
      <w:spacing w:before="100" w:beforeAutospacing="1" w:after="100" w:afterAutospacing="1"/>
      <w:jc w:val="left"/>
      <w:textAlignment w:val="center"/>
    </w:pPr>
    <w:rPr>
      <w:b/>
      <w:bCs/>
      <w:color w:val="000000"/>
      <w:kern w:val="0"/>
      <w:sz w:val="24"/>
    </w:rPr>
  </w:style>
  <w:style w:type="paragraph" w:customStyle="1" w:styleId="475">
    <w:name w:val="正文 1"/>
    <w:basedOn w:val="1"/>
    <w:autoRedefine/>
    <w:qFormat/>
    <w:uiPriority w:val="0"/>
    <w:pPr>
      <w:widowControl/>
      <w:adjustRightInd w:val="0"/>
      <w:snapToGrid w:val="0"/>
      <w:spacing w:before="80" w:after="80" w:line="360" w:lineRule="auto"/>
      <w:ind w:left="1418"/>
    </w:pPr>
    <w:rPr>
      <w:szCs w:val="20"/>
    </w:rPr>
  </w:style>
  <w:style w:type="paragraph" w:customStyle="1" w:styleId="476">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477">
    <w:name w:val="xl6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478">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479">
    <w:name w:val="dbchf15cgrid sbasedon0 s"/>
    <w:autoRedefine/>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480">
    <w:name w:val="样式 标题 1 + (中文) 黑体 小二 黑色 两端对齐 段前: 16 行"/>
    <w:basedOn w:val="3"/>
    <w:autoRedefine/>
    <w:qFormat/>
    <w:uiPriority w:val="0"/>
    <w:pPr>
      <w:keepNext w:val="0"/>
      <w:keepLines w:val="0"/>
      <w:tabs>
        <w:tab w:val="left" w:pos="425"/>
        <w:tab w:val="left" w:pos="1571"/>
      </w:tabs>
      <w:autoSpaceDE/>
      <w:autoSpaceDN/>
      <w:adjustRightInd/>
      <w:spacing w:before="0" w:after="0" w:line="360" w:lineRule="auto"/>
      <w:ind w:left="425" w:hanging="425"/>
      <w:jc w:val="both"/>
    </w:pPr>
    <w:rPr>
      <w:rFonts w:hAnsi="宋体"/>
      <w:color w:val="000000"/>
      <w:sz w:val="24"/>
      <w:szCs w:val="24"/>
    </w:rPr>
  </w:style>
  <w:style w:type="paragraph" w:customStyle="1" w:styleId="481">
    <w:name w:val="样式4"/>
    <w:basedOn w:val="1"/>
    <w:autoRedefine/>
    <w:qFormat/>
    <w:uiPriority w:val="0"/>
    <w:rPr>
      <w:sz w:val="24"/>
    </w:rPr>
  </w:style>
  <w:style w:type="paragraph" w:customStyle="1" w:styleId="482">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483">
    <w:name w:val="xl7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8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485">
    <w:name w:val="xl88"/>
    <w:basedOn w:val="1"/>
    <w:autoRedefine/>
    <w:qFormat/>
    <w:uiPriority w:val="0"/>
    <w:pPr>
      <w:widowControl/>
      <w:spacing w:before="100" w:beforeAutospacing="1" w:after="100" w:afterAutospacing="1"/>
      <w:jc w:val="left"/>
      <w:textAlignment w:val="center"/>
    </w:pPr>
    <w:rPr>
      <w:b/>
      <w:bCs/>
      <w:kern w:val="0"/>
      <w:sz w:val="24"/>
    </w:rPr>
  </w:style>
  <w:style w:type="paragraph" w:customStyle="1" w:styleId="486">
    <w:name w:val="ÕýÎÄ 1"/>
    <w:basedOn w:val="1"/>
    <w:autoRedefine/>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487">
    <w:name w:val="列表内容"/>
    <w:basedOn w:val="1"/>
    <w:next w:val="1"/>
    <w:autoRedefine/>
    <w:qFormat/>
    <w:uiPriority w:val="0"/>
    <w:pPr>
      <w:widowControl/>
      <w:tabs>
        <w:tab w:val="left" w:pos="840"/>
      </w:tabs>
      <w:ind w:left="840" w:hanging="420"/>
      <w:jc w:val="left"/>
    </w:pPr>
    <w:rPr>
      <w:kern w:val="0"/>
      <w:sz w:val="18"/>
    </w:rPr>
  </w:style>
  <w:style w:type="paragraph" w:customStyle="1" w:styleId="48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489">
    <w:name w:val="图"/>
    <w:basedOn w:val="1"/>
    <w:link w:val="490"/>
    <w:autoRedefine/>
    <w:qFormat/>
    <w:uiPriority w:val="0"/>
    <w:pPr>
      <w:spacing w:line="360" w:lineRule="auto"/>
      <w:ind w:firstLine="6" w:firstLineChars="2"/>
      <w:jc w:val="center"/>
    </w:pPr>
    <w:rPr>
      <w:kern w:val="0"/>
      <w:sz w:val="72"/>
      <w:szCs w:val="72"/>
      <w:lang w:val="zh-CN" w:eastAsia="zh-CN"/>
    </w:rPr>
  </w:style>
  <w:style w:type="character" w:customStyle="1" w:styleId="490">
    <w:name w:val="图 Char"/>
    <w:link w:val="489"/>
    <w:autoRedefine/>
    <w:qFormat/>
    <w:uiPriority w:val="0"/>
    <w:rPr>
      <w:sz w:val="72"/>
      <w:szCs w:val="72"/>
      <w:lang w:val="zh-CN" w:eastAsia="zh-CN"/>
    </w:rPr>
  </w:style>
  <w:style w:type="paragraph" w:customStyle="1" w:styleId="491">
    <w:name w:val="细标题项"/>
    <w:basedOn w:val="246"/>
    <w:link w:val="493"/>
    <w:autoRedefine/>
    <w:qFormat/>
    <w:uiPriority w:val="0"/>
    <w:pPr>
      <w:numPr>
        <w:ilvl w:val="0"/>
        <w:numId w:val="10"/>
      </w:numPr>
      <w:spacing w:line="360" w:lineRule="auto"/>
      <w:ind w:firstLine="0" w:firstLineChars="0"/>
    </w:pPr>
    <w:rPr>
      <w:b/>
      <w:kern w:val="0"/>
      <w:sz w:val="24"/>
      <w:szCs w:val="24"/>
    </w:rPr>
  </w:style>
  <w:style w:type="character" w:customStyle="1" w:styleId="492">
    <w:name w:val="列出段落 字符"/>
    <w:autoRedefine/>
    <w:qFormat/>
    <w:uiPriority w:val="34"/>
    <w:rPr>
      <w:rFonts w:ascii="Calibri" w:hAnsi="Calibri" w:eastAsia="宋体" w:cs="Times New Roman"/>
      <w:sz w:val="24"/>
      <w:szCs w:val="24"/>
    </w:rPr>
  </w:style>
  <w:style w:type="character" w:customStyle="1" w:styleId="493">
    <w:name w:val="细标题项 Char"/>
    <w:link w:val="491"/>
    <w:autoRedefine/>
    <w:qFormat/>
    <w:uiPriority w:val="0"/>
    <w:rPr>
      <w:rFonts w:ascii="Calibri" w:hAnsi="Calibri"/>
      <w:b/>
      <w:sz w:val="24"/>
      <w:szCs w:val="24"/>
    </w:rPr>
  </w:style>
  <w:style w:type="character" w:customStyle="1" w:styleId="494">
    <w:name w:val="正文文本样式 Char"/>
    <w:link w:val="166"/>
    <w:autoRedefine/>
    <w:qFormat/>
    <w:uiPriority w:val="0"/>
    <w:rPr>
      <w:rFonts w:cs="宋体"/>
      <w:kern w:val="2"/>
      <w:sz w:val="24"/>
    </w:rPr>
  </w:style>
  <w:style w:type="character" w:customStyle="1" w:styleId="495">
    <w:name w:val="彩色列表 - 强调文字颜色 1 Char"/>
    <w:autoRedefine/>
    <w:semiHidden/>
    <w:qFormat/>
    <w:uiPriority w:val="99"/>
    <w:rPr>
      <w:kern w:val="2"/>
      <w:sz w:val="21"/>
      <w:szCs w:val="22"/>
    </w:rPr>
  </w:style>
  <w:style w:type="paragraph" w:customStyle="1" w:styleId="496">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497">
    <w:name w:val="正文缩进3"/>
    <w:basedOn w:val="1"/>
    <w:autoRedefine/>
    <w:qFormat/>
    <w:uiPriority w:val="0"/>
    <w:pPr>
      <w:widowControl/>
      <w:ind w:firstLine="200" w:firstLineChars="200"/>
      <w:jc w:val="left"/>
    </w:pPr>
    <w:rPr>
      <w:rFonts w:ascii="Calibri" w:hAnsi="Calibri"/>
      <w:kern w:val="0"/>
      <w:sz w:val="24"/>
      <w:lang w:eastAsia="en-US" w:bidi="en-US"/>
    </w:rPr>
  </w:style>
  <w:style w:type="character" w:customStyle="1" w:styleId="498">
    <w:name w:val="样式2 Char"/>
    <w:link w:val="195"/>
    <w:autoRedefine/>
    <w:qFormat/>
    <w:uiPriority w:val="0"/>
    <w:rPr>
      <w:kern w:val="2"/>
      <w:sz w:val="24"/>
    </w:rPr>
  </w:style>
  <w:style w:type="character" w:customStyle="1" w:styleId="499">
    <w:name w:val="Char Char Char3"/>
    <w:autoRedefine/>
    <w:qFormat/>
    <w:uiPriority w:val="0"/>
    <w:rPr>
      <w:kern w:val="2"/>
      <w:sz w:val="18"/>
      <w:szCs w:val="18"/>
    </w:rPr>
  </w:style>
  <w:style w:type="paragraph" w:customStyle="1" w:styleId="500">
    <w:name w:val="Char Char5 Char Char1"/>
    <w:basedOn w:val="1"/>
    <w:autoRedefine/>
    <w:qFormat/>
    <w:uiPriority w:val="0"/>
    <w:rPr>
      <w:sz w:val="30"/>
    </w:rPr>
  </w:style>
  <w:style w:type="paragraph" w:customStyle="1" w:styleId="501">
    <w:name w:val="Char4"/>
    <w:basedOn w:val="1"/>
    <w:autoRedefine/>
    <w:qFormat/>
    <w:uiPriority w:val="0"/>
    <w:pPr>
      <w:tabs>
        <w:tab w:val="left" w:pos="425"/>
      </w:tabs>
      <w:ind w:left="425" w:hanging="425"/>
    </w:pPr>
    <w:rPr>
      <w:sz w:val="24"/>
    </w:rPr>
  </w:style>
  <w:style w:type="paragraph" w:customStyle="1" w:styleId="502">
    <w:name w:val="列出段落3"/>
    <w:basedOn w:val="1"/>
    <w:autoRedefine/>
    <w:qFormat/>
    <w:uiPriority w:val="0"/>
    <w:pPr>
      <w:spacing w:line="360" w:lineRule="auto"/>
      <w:ind w:firstLine="420" w:firstLineChars="200"/>
      <w:jc w:val="left"/>
    </w:pPr>
    <w:rPr>
      <w:rFonts w:ascii="Calibri" w:hAnsi="Calibri"/>
      <w:szCs w:val="22"/>
    </w:rPr>
  </w:style>
  <w:style w:type="paragraph" w:customStyle="1" w:styleId="503">
    <w:name w:val="样式 标题 1标题1H1Head 1Head 11Head 12Head 111Head 13Head 112..."/>
    <w:basedOn w:val="3"/>
    <w:autoRedefine/>
    <w:qFormat/>
    <w:uiPriority w:val="0"/>
    <w:pPr>
      <w:keepNext w:val="0"/>
      <w:keepLines w:val="0"/>
      <w:autoSpaceDE/>
      <w:autoSpaceDN/>
      <w:adjustRightInd/>
      <w:spacing w:before="0" w:after="240" w:afterLines="100" w:line="400" w:lineRule="exact"/>
      <w:ind w:firstLine="562"/>
      <w:jc w:val="both"/>
    </w:pPr>
    <w:rPr>
      <w:rFonts w:hAnsi="宋体" w:eastAsia="黑体" w:cs="宋体"/>
      <w:b w:val="0"/>
      <w:bCs/>
      <w:spacing w:val="10"/>
      <w:kern w:val="2"/>
      <w:sz w:val="36"/>
    </w:rPr>
  </w:style>
  <w:style w:type="paragraph" w:customStyle="1" w:styleId="504">
    <w:name w:val="正文 Char Char"/>
    <w:autoRedefine/>
    <w:qFormat/>
    <w:uiPriority w:val="0"/>
    <w:pPr>
      <w:widowControl w:val="0"/>
      <w:jc w:val="both"/>
    </w:pPr>
    <w:rPr>
      <w:rFonts w:ascii="Times New Roman" w:hAnsi="Times New Roman" w:eastAsia="ヒラギノ角ゴ Pro W3" w:cs="Times New Roman"/>
      <w:color w:val="000000"/>
      <w:kern w:val="2"/>
      <w:sz w:val="26"/>
      <w:lang w:val="en-US" w:eastAsia="en-US" w:bidi="ar-SA"/>
    </w:rPr>
  </w:style>
  <w:style w:type="paragraph" w:customStyle="1" w:styleId="505">
    <w:name w:val="纯文本1"/>
    <w:basedOn w:val="1"/>
    <w:next w:val="36"/>
    <w:autoRedefine/>
    <w:qFormat/>
    <w:uiPriority w:val="0"/>
    <w:pPr>
      <w:adjustRightInd w:val="0"/>
      <w:textAlignment w:val="baseline"/>
    </w:pPr>
    <w:rPr>
      <w:rFonts w:ascii="宋体" w:hAnsi="Courier New" w:eastAsia="楷体_GB2312"/>
      <w:sz w:val="26"/>
      <w:szCs w:val="20"/>
    </w:rPr>
  </w:style>
  <w:style w:type="paragraph" w:customStyle="1" w:styleId="506">
    <w:name w:val="表格居中"/>
    <w:next w:val="1"/>
    <w:autoRedefine/>
    <w:qFormat/>
    <w:uiPriority w:val="0"/>
    <w:pPr>
      <w:spacing w:line="360" w:lineRule="auto"/>
      <w:jc w:val="center"/>
    </w:pPr>
    <w:rPr>
      <w:rFonts w:ascii="Calibri" w:hAnsi="Calibri" w:eastAsia="宋体" w:cs="Times New Roman"/>
      <w:sz w:val="21"/>
      <w:szCs w:val="22"/>
      <w:lang w:val="en-US" w:eastAsia="zh-CN" w:bidi="ar-SA"/>
    </w:rPr>
  </w:style>
  <w:style w:type="character" w:customStyle="1" w:styleId="507">
    <w:name w:val="列表格式 Char"/>
    <w:link w:val="508"/>
    <w:autoRedefine/>
    <w:qFormat/>
    <w:uiPriority w:val="0"/>
    <w:rPr>
      <w:kern w:val="2"/>
      <w:sz w:val="24"/>
    </w:rPr>
  </w:style>
  <w:style w:type="paragraph" w:customStyle="1" w:styleId="508">
    <w:name w:val="列表格式"/>
    <w:basedOn w:val="1"/>
    <w:link w:val="507"/>
    <w:autoRedefine/>
    <w:qFormat/>
    <w:uiPriority w:val="0"/>
    <w:pPr>
      <w:spacing w:line="360" w:lineRule="auto"/>
    </w:pPr>
    <w:rPr>
      <w:sz w:val="24"/>
      <w:szCs w:val="20"/>
    </w:rPr>
  </w:style>
  <w:style w:type="paragraph" w:customStyle="1" w:styleId="509">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10">
    <w:name w:val="表格"/>
    <w:link w:val="511"/>
    <w:autoRedefine/>
    <w:qFormat/>
    <w:uiPriority w:val="0"/>
    <w:pPr>
      <w:jc w:val="center"/>
    </w:pPr>
    <w:rPr>
      <w:rFonts w:ascii="Times New Roman" w:hAnsi="Times New Roman" w:eastAsia="仿宋" w:cs="Times New Roman"/>
      <w:kern w:val="2"/>
      <w:sz w:val="24"/>
      <w:szCs w:val="22"/>
      <w:lang w:val="en-US" w:eastAsia="zh-CN" w:bidi="ar-SA"/>
    </w:rPr>
  </w:style>
  <w:style w:type="character" w:customStyle="1" w:styleId="511">
    <w:name w:val="表格 Char"/>
    <w:link w:val="510"/>
    <w:autoRedefine/>
    <w:qFormat/>
    <w:uiPriority w:val="0"/>
    <w:rPr>
      <w:rFonts w:eastAsia="仿宋"/>
      <w:kern w:val="2"/>
      <w:sz w:val="24"/>
      <w:szCs w:val="22"/>
    </w:rPr>
  </w:style>
  <w:style w:type="paragraph" w:customStyle="1" w:styleId="512">
    <w:name w:val="(符号)三标题1."/>
    <w:basedOn w:val="1"/>
    <w:autoRedefine/>
    <w:qFormat/>
    <w:uiPriority w:val="0"/>
    <w:pPr>
      <w:widowControl/>
      <w:tabs>
        <w:tab w:val="left" w:pos="562"/>
      </w:tabs>
      <w:spacing w:before="140" w:after="140" w:line="500" w:lineRule="exact"/>
      <w:ind w:left="420" w:hanging="420"/>
      <w:jc w:val="left"/>
      <w:outlineLvl w:val="2"/>
    </w:pPr>
    <w:rPr>
      <w:rFonts w:ascii="楷体_GB2312" w:hAnsi="宋体" w:eastAsia="楷体_GB2312" w:cs="宋体"/>
      <w:b/>
      <w:bCs/>
      <w:kern w:val="0"/>
      <w:sz w:val="28"/>
      <w:szCs w:val="20"/>
    </w:rPr>
  </w:style>
  <w:style w:type="character" w:customStyle="1" w:styleId="513">
    <w:name w:val="apple-converted-space"/>
    <w:basedOn w:val="54"/>
    <w:autoRedefine/>
    <w:qFormat/>
    <w:uiPriority w:val="0"/>
  </w:style>
  <w:style w:type="paragraph" w:customStyle="1" w:styleId="514">
    <w:name w:val="msolistparagraph"/>
    <w:basedOn w:val="1"/>
    <w:autoRedefine/>
    <w:qFormat/>
    <w:uiPriority w:val="0"/>
    <w:pPr>
      <w:ind w:firstLine="420" w:firstLineChars="200"/>
    </w:pPr>
    <w:rPr>
      <w:rFonts w:hint="eastAsia" w:ascii="等线" w:hAnsi="等线" w:eastAsia="等线"/>
      <w:sz w:val="24"/>
    </w:rPr>
  </w:style>
  <w:style w:type="character" w:customStyle="1" w:styleId="515">
    <w:name w:val="正文文本_"/>
    <w:link w:val="516"/>
    <w:autoRedefine/>
    <w:qFormat/>
    <w:locked/>
    <w:uiPriority w:val="99"/>
    <w:rPr>
      <w:rFonts w:ascii="宋体" w:hAnsi="宋体" w:cs="宋体"/>
      <w:sz w:val="22"/>
      <w:shd w:val="clear" w:color="auto" w:fill="FFFFFF"/>
    </w:rPr>
  </w:style>
  <w:style w:type="paragraph" w:customStyle="1" w:styleId="516">
    <w:name w:val="正文文本7"/>
    <w:basedOn w:val="1"/>
    <w:link w:val="515"/>
    <w:autoRedefine/>
    <w:qFormat/>
    <w:uiPriority w:val="99"/>
    <w:pPr>
      <w:shd w:val="clear" w:color="auto" w:fill="FFFFFF"/>
      <w:spacing w:before="300" w:line="374" w:lineRule="exact"/>
      <w:ind w:hanging="460"/>
      <w:jc w:val="right"/>
    </w:pPr>
    <w:rPr>
      <w:rFonts w:ascii="宋体" w:hAnsi="宋体" w:cs="宋体"/>
      <w:kern w:val="0"/>
      <w:sz w:val="22"/>
      <w:szCs w:val="20"/>
    </w:rPr>
  </w:style>
  <w:style w:type="paragraph" w:customStyle="1" w:styleId="517">
    <w:name w:val="Address"/>
    <w:basedOn w:val="1"/>
    <w:next w:val="1"/>
    <w:autoRedefine/>
    <w:qFormat/>
    <w:uiPriority w:val="0"/>
    <w:pPr>
      <w:autoSpaceDE w:val="0"/>
      <w:autoSpaceDN w:val="0"/>
      <w:adjustRightInd w:val="0"/>
      <w:jc w:val="left"/>
    </w:pPr>
    <w:rPr>
      <w:i/>
      <w:kern w:val="0"/>
      <w:sz w:val="24"/>
      <w:szCs w:val="20"/>
    </w:rPr>
  </w:style>
  <w:style w:type="character" w:customStyle="1" w:styleId="518">
    <w:name w:val="Variable"/>
    <w:autoRedefine/>
    <w:qFormat/>
    <w:uiPriority w:val="0"/>
    <w:rPr>
      <w:i/>
    </w:rPr>
  </w:style>
  <w:style w:type="paragraph" w:customStyle="1" w:styleId="519">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12454F-564D-4CEB-BC0F-D40BCDCD399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22585</Words>
  <Characters>24101</Characters>
  <Lines>157</Lines>
  <Paragraphs>44</Paragraphs>
  <TotalTime>2</TotalTime>
  <ScaleCrop>false</ScaleCrop>
  <LinksUpToDate>false</LinksUpToDate>
  <CharactersWithSpaces>24937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2022-12-06T08:02:00Z</dcterms:created>
  <dc:creator>Yin Hao</dc:creator>
  <cp:lastModifiedBy>ZTY</cp:lastModifiedBy>
  <cp:lastPrinted>2023-04-13T09:09:00Z</cp:lastPrinted>
  <dcterms:modified xsi:type="dcterms:W3CDTF">2024-05-07T01:06:21Z</dcterms:modified>
  <dc:title>02年杜范本稿</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EC7ADACAAEC24AA0919DDC74669968BB_13</vt:lpwstr>
  </property>
</Properties>
</file>